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/>
        <w:ind w:left="6520" w:right="0" w:hanging="0"/>
        <w:jc w:val="left"/>
        <w:textAlignment w:val="baseline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Додаток 1 до договору  </w:t>
      </w:r>
    </w:p>
    <w:p>
      <w:pPr>
        <w:pStyle w:val="Normal"/>
        <w:keepNext w:val="false"/>
        <w:keepLines w:val="false"/>
        <w:pageBreakBefore w:val="false"/>
        <w:widowControl w:val="false"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/>
        <w:ind w:left="6463" w:right="0" w:hanging="0"/>
        <w:jc w:val="left"/>
        <w:textAlignment w:val="baseline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bidi w:val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Порядок розрахунків </w:t>
      </w:r>
    </w:p>
    <w:p>
      <w:pPr>
        <w:pStyle w:val="Normal"/>
        <w:bidi w:val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bidi w:val="0"/>
        <w:ind w:left="0" w:right="0" w:firstLine="567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1. Обсяги розподіленої електричної енергії визначаються за розрахунковий період, який становить 1 календарний місяць, тобто з 01 числа місяця по 31 число цього місяця (або іншого останнього дня місяця) включно.</w:t>
      </w:r>
    </w:p>
    <w:p>
      <w:pPr>
        <w:pStyle w:val="Normal"/>
        <w:bidi w:val="0"/>
        <w:ind w:left="0" w:right="0" w:firstLine="567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2. Постачальником здійснюється:</w:t>
      </w:r>
    </w:p>
    <w:p>
      <w:pPr>
        <w:pStyle w:val="Normal"/>
        <w:bidi w:val="0"/>
        <w:ind w:left="0" w:right="0" w:firstLine="567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2.1. Оплата послуг з розподілу електричної енергії за сукупністю споживачів, які входять в балансуючу групу Постачальника згідно з реєстром за ЕІС кодами споживачів та їх точок вимірювання, яким за вибором споживачів згідно з договорами про постачання електричної енергії, укладеними між цими споживачами та Постачальником, оплату послуг з розподілу електричної енергії забезпечує Постачальник. Реєстр ведеться Оператором системи в електронному вигляді.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z w:val="18"/>
          <w:szCs w:val="18"/>
        </w:rPr>
        <w:t xml:space="preserve">2.2. Оплата послуг за виконання робіт з припинення та відновлення постачання електричної енергії споживачам, які входять в балансуючу групу Постачальника, </w:t>
      </w:r>
      <w:r>
        <w:rPr>
          <w:rFonts w:cs="Times New Roman"/>
          <w:color w:val="000000"/>
          <w:sz w:val="18"/>
          <w:szCs w:val="18"/>
          <w:highlight w:val="white"/>
        </w:rPr>
        <w:t>здійснюється за рахунок сторони, за зверненням або з вини якої відбулося припинення розподілу електричної енергії (відключення електроустановки).</w:t>
      </w:r>
    </w:p>
    <w:p>
      <w:pPr>
        <w:pStyle w:val="Normal"/>
        <w:bidi w:val="0"/>
        <w:ind w:left="0" w:right="0" w:firstLine="567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3. Надання послуг з виконання робіт з припинення та відновлення постачання електричної енергії споживачам, які входять в балансуючу групу Постачальника, здійснюється в порядку передбаченим КСР, ПРРЕЕ згідно з калькуляцією, затвердженої Оператором системи.</w:t>
      </w:r>
    </w:p>
    <w:p>
      <w:pPr>
        <w:pStyle w:val="Normal"/>
        <w:bidi w:val="0"/>
        <w:ind w:left="0" w:right="0" w:firstLine="567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4. Сума попередньої оплати  з розподілу електричної енергії Оператору системи визначається на підставі  визначених у Повідомленні про заявлений обсяг купівлі електричної енергії на ринку електричної енергії України  обсягів купівлі електричної енергії споживачами Постачальника та затверджених Регулятором для Оператора системи тарифів на послуги з розподілу електричної енергії на відповідних класах напруги. На суму попередньої оплати нараховується податок на додану вартість відповідно до законодавства України.</w:t>
      </w:r>
    </w:p>
    <w:p>
      <w:pPr>
        <w:pStyle w:val="Normal"/>
        <w:bidi w:val="0"/>
        <w:ind w:left="0" w:right="0" w:firstLine="567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4.1. Постачальник зобов'язаний  до 18 числа (включно) місяця, що передує розрахунковому періоду, надати Оператору системи підписані уповноваженою особою Постачальника повідомлення про обсяг заявленого місячного споживання електричної енергії по класам напруги споживачів. </w:t>
      </w:r>
    </w:p>
    <w:p>
      <w:pPr>
        <w:pStyle w:val="Normal"/>
        <w:bidi w:val="0"/>
        <w:ind w:left="0" w:right="0" w:firstLine="567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5. Постачальник до 1-го числа місяця  розрахункового періоду здійснює оплату послуг з розподілу електричної енергії у формі попередньої оплати у розмірі 100 % замовленого обсягу купівлі електричної енергії, який визначено згідно з п.4 цього Додатку 1 до Договору, на поточний рахунок Оператора системи. Датою здійснення оплати за виставленими Оператором системи Постачальнику платіжними документами є дата, на яку оплачена сума коштів зараховується на поточний рахунок Оператора системи.</w:t>
      </w:r>
    </w:p>
    <w:p>
      <w:pPr>
        <w:pStyle w:val="Normal"/>
        <w:bidi w:val="0"/>
        <w:ind w:left="0" w:right="0" w:firstLine="567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6. У випадку порушення Постачальником термінів оплати обумовлених цим Додатком платежів, Оператор системи проводить нарахування пені у розмірі подвійної облікової ставки НБУ, яка діє на день прострочення, за кожний день прострочення платежу, 3% річних з простроченої суми. При цьому сума боргу прострочених платежів повинна бути сплачена Постачальником з урахуванням встановленого індексу інфляції. Штрафні санкції нараховуються до повного виконання Постачальником своїх зобов’язань. Штрафні санкції (пеня, 3% річних та інфляційні нарахування) сплачуються Постачальником на поточний рахунок Оператора системи, який вказується в рахунках, протягом 5 операційних днів з дня їх отримання Постачальником.</w:t>
      </w:r>
    </w:p>
    <w:p>
      <w:pPr>
        <w:pStyle w:val="Normal"/>
        <w:tabs>
          <w:tab w:val="clear" w:pos="709"/>
          <w:tab w:val="left" w:pos="554" w:leader="none"/>
          <w:tab w:val="left" w:pos="1649" w:leader="none"/>
        </w:tabs>
        <w:bidi w:val="0"/>
        <w:jc w:val="both"/>
        <w:rPr/>
      </w:pPr>
      <w:r>
        <w:rPr>
          <w:rFonts w:eastAsia="Times New Roman"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>7. Після закінчення розрахункового періоду, Оператор системи  до 5-го числа (включно) місяця, наступного за розрахунковим, оформлює, підписує та надсилає Постачальнику Акт виконаних робіт  з розподілу електричної енергії та рахунок на остаточну оплату з урахуванням проведеної передоплати.</w:t>
      </w:r>
    </w:p>
    <w:p>
      <w:pPr>
        <w:pStyle w:val="Normal"/>
        <w:tabs>
          <w:tab w:val="clear" w:pos="709"/>
          <w:tab w:val="left" w:pos="554" w:leader="none"/>
          <w:tab w:val="left" w:pos="1649" w:leader="none"/>
        </w:tabs>
        <w:bidi w:val="0"/>
        <w:ind w:left="0" w:right="0" w:firstLine="578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Строк оплати рахунків, становить 5 робочих днів з дня їх отримання.</w:t>
      </w:r>
    </w:p>
    <w:p>
      <w:pPr>
        <w:pStyle w:val="Normal"/>
        <w:bidi w:val="0"/>
        <w:jc w:val="both"/>
        <w:rPr/>
      </w:pPr>
      <w:r>
        <w:rPr>
          <w:rFonts w:eastAsia="Times New Roman" w:cs="Times New Roman"/>
          <w:sz w:val="18"/>
          <w:szCs w:val="18"/>
        </w:rPr>
        <w:t xml:space="preserve">        </w:t>
      </w:r>
      <w:r>
        <w:rPr>
          <w:rFonts w:eastAsia="Times New Roman" w:cs="Times New Roman"/>
          <w:sz w:val="18"/>
          <w:szCs w:val="18"/>
        </w:rPr>
        <w:t>Датою</w:t>
      </w:r>
      <w:r>
        <w:rPr>
          <w:rFonts w:cs="Times New Roman"/>
          <w:sz w:val="18"/>
          <w:szCs w:val="18"/>
        </w:rPr>
        <w:t xml:space="preserve"> отримання рахунку Постачальником, вважається дата його особистого вручення, що підтверджується підписом одержувача та/або реєстрацією вхідної кореспонденції, або третій календарний день від дати отримання поштовим відділенням зв'язку, в якому обслуговується одержувач (у разі направлення поштою рекомендованим листом). </w:t>
      </w:r>
    </w:p>
    <w:p>
      <w:pPr>
        <w:pStyle w:val="Normal"/>
        <w:tabs>
          <w:tab w:val="clear" w:pos="709"/>
          <w:tab w:val="left" w:pos="554" w:leader="none"/>
          <w:tab w:val="left" w:pos="1649" w:leader="none"/>
        </w:tabs>
        <w:bidi w:val="0"/>
        <w:ind w:left="0" w:right="0" w:firstLine="578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Оплата заборгованості минулих періодів зараховується першочергово.</w:t>
      </w:r>
    </w:p>
    <w:p>
      <w:pPr>
        <w:pStyle w:val="Normal"/>
        <w:tabs>
          <w:tab w:val="clear" w:pos="709"/>
          <w:tab w:val="left" w:pos="554" w:leader="none"/>
          <w:tab w:val="left" w:pos="1649" w:leader="none"/>
        </w:tabs>
        <w:bidi w:val="0"/>
        <w:spacing w:lineRule="auto" w:line="228"/>
        <w:ind w:left="0" w:right="0" w:firstLine="577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8. Оплата послуг з розподілу електричної енергії та оплата послуг з виконання робіт з припинення та відновлення постачання електричної енергії споживачам, які входять в балансуючу групу Постачальника, здійснюється окремими платіжними дорученнями на підставі виставлених Оператором системи рахунків.</w:t>
      </w:r>
    </w:p>
    <w:p>
      <w:pPr>
        <w:pStyle w:val="Normal"/>
        <w:bidi w:val="0"/>
        <w:ind w:left="0" w:right="0" w:firstLine="426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9. Спірні питання, які виникають між відповідними учасниками роздрібного ринку щодо проведення розрахунків за електричну енергію, надані послуги Оператора системи вирішуються сторонами в установленому законодавством порядку, у тому числі шляхом переговорів або в судовому порядку.</w:t>
      </w:r>
    </w:p>
    <w:p>
      <w:pPr>
        <w:pStyle w:val="Normal"/>
        <w:bidi w:val="0"/>
        <w:ind w:left="0" w:right="0" w:firstLine="426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10. Усі суми, що підлягають оплаті/поверненню за цим Договором, здійснюються в національній валюті України у безготівковій формі на банківські рахунки Сторін, що зазначені у цьому Договорі.</w:t>
      </w:r>
    </w:p>
    <w:p>
      <w:pPr>
        <w:pStyle w:val="Normal"/>
        <w:bidi w:val="0"/>
        <w:ind w:left="0" w:right="0" w:firstLine="426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11. Сторони повідомляють одна одну про зміну своїх банківських реквізитів протягом 5 банківських днів з дати виникнення відповідних змін, але у будь-якому випадку Сторона, що є одержувачем грошових коштів, має повідомити Сторону, що є платником, про зміну своїх банківських реквізитів не пізніше ніж за 3 банківські дні до запланованого отримання грошових коштів.</w:t>
      </w:r>
    </w:p>
    <w:p>
      <w:pPr>
        <w:pStyle w:val="Normal"/>
        <w:bidi w:val="0"/>
        <w:ind w:left="0" w:right="0" w:firstLine="426"/>
        <w:jc w:val="both"/>
        <w:rPr/>
      </w:pPr>
      <w:r>
        <w:rPr>
          <w:rFonts w:cs="Times New Roman"/>
          <w:sz w:val="18"/>
          <w:szCs w:val="18"/>
        </w:rPr>
        <w:t>12. Договір електропостачальника про надання послуг з розподілу електричної енергії в частині розрахунків за послуги оператора системи діє у разі постачання електричної енергії споживачам Постачальник</w:t>
      </w:r>
      <w:r>
        <w:rPr>
          <w:rFonts w:cs="Times New Roman"/>
          <w:color w:val="000000"/>
          <w:sz w:val="18"/>
          <w:szCs w:val="18"/>
          <w:lang w:val="ru-RU"/>
        </w:rPr>
        <w:t>ом</w:t>
      </w:r>
      <w:r>
        <w:rPr>
          <w:rFonts w:cs="Times New Roman"/>
          <w:sz w:val="18"/>
          <w:szCs w:val="18"/>
        </w:rPr>
        <w:t xml:space="preserve">, для яких згідно з обраною споживачем комерційною пропозицією Постачальника оплату послуг з розподілу електричної енергії забезпечує Постачальник. Договір електропостачальника про надання послуг з розподілу електричної енергії в частині розрахунків за послуги оператора системи призупиняється (тимчасово не діє) за сукупністю споживачів Постачальника, для яких згідно з обраною споживачем комерційною пропозицією Постачальника оплату послуг з розподілу електричної енергії забезпечує споживач. </w:t>
      </w:r>
    </w:p>
    <w:p>
      <w:pPr>
        <w:pStyle w:val="Normal"/>
        <w:bidi w:val="0"/>
        <w:jc w:val="left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</w:r>
    </w:p>
    <w:tbl>
      <w:tblPr>
        <w:tblW w:w="9903" w:type="dxa"/>
        <w:jc w:val="left"/>
        <w:tblInd w:w="33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1"/>
        <w:gridCol w:w="5312"/>
      </w:tblGrid>
      <w:tr>
        <w:trPr/>
        <w:tc>
          <w:tcPr>
            <w:tcW w:w="4591" w:type="dxa"/>
            <w:tcBorders/>
          </w:tcPr>
          <w:p>
            <w:pPr>
              <w:pStyle w:val="NormalUkr"/>
              <w:tabs>
                <w:tab w:val="clear" w:pos="709"/>
                <w:tab w:val="left" w:pos="5103" w:leader="none"/>
                <w:tab w:val="left" w:pos="8789" w:leader="none"/>
              </w:tabs>
              <w:bidi w:val="0"/>
              <w:snapToGrid w:val="false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  <w:lang w:val="uk-U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18"/>
                <w:szCs w:val="18"/>
                <w:u w:val="none"/>
                <w:lang w:val="uk-UA"/>
              </w:rPr>
              <w:t>Оператор системи:</w:t>
            </w:r>
          </w:p>
          <w:p>
            <w:pPr>
              <w:pStyle w:val="3"/>
              <w:tabs>
                <w:tab w:val="clear" w:pos="709"/>
                <w:tab w:val="left" w:pos="5103" w:leader="none"/>
                <w:tab w:val="left" w:pos="8789" w:leader="none"/>
              </w:tabs>
              <w:bidi w:val="0"/>
              <w:snapToGrid w:val="false"/>
              <w:spacing w:before="0" w:after="0"/>
              <w:jc w:val="left"/>
              <w:rPr/>
            </w:pPr>
            <w:r>
              <w:rPr>
                <w:rStyle w:val="Style13"/>
                <w:rFonts w:cs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u w:val="none"/>
                <w:lang w:val="uk-UA"/>
              </w:rPr>
              <w:t>АТ "ХЕРСОНОБЛЕНЕРГО"</w:t>
            </w:r>
          </w:p>
        </w:tc>
        <w:tc>
          <w:tcPr>
            <w:tcW w:w="5312" w:type="dxa"/>
            <w:tcBorders/>
          </w:tcPr>
          <w:p>
            <w:pPr>
              <w:pStyle w:val="NormalUkr"/>
              <w:tabs>
                <w:tab w:val="clear" w:pos="709"/>
                <w:tab w:val="left" w:pos="5103" w:leader="none"/>
                <w:tab w:val="left" w:pos="8789" w:leader="none"/>
              </w:tabs>
              <w:bidi w:val="0"/>
              <w:snapToGrid w:val="false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1"/>
                <w:sz w:val="18"/>
                <w:szCs w:val="18"/>
                <w:u w:val="none"/>
                <w:lang w:val="uk-U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18"/>
                <w:szCs w:val="18"/>
                <w:u w:val="none"/>
                <w:lang w:val="uk-UA"/>
              </w:rPr>
              <w:t xml:space="preserve">Постачальник: </w:t>
            </w:r>
          </w:p>
          <w:p>
            <w:pPr>
              <w:pStyle w:val="NormalUkr"/>
              <w:tabs>
                <w:tab w:val="clear" w:pos="709"/>
                <w:tab w:val="left" w:pos="5103" w:leader="none"/>
                <w:tab w:val="left" w:pos="8789" w:leader="none"/>
              </w:tabs>
              <w:bidi w:val="0"/>
              <w:snapToGrid w:val="false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1"/>
                <w:sz w:val="18"/>
                <w:szCs w:val="18"/>
                <w:u w:val="none"/>
                <w:lang w:val="uk-U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18"/>
                <w:szCs w:val="18"/>
                <w:u w:val="none"/>
                <w:lang w:val="uk-UA"/>
              </w:rPr>
            </w:r>
          </w:p>
        </w:tc>
      </w:tr>
      <w:tr>
        <w:trPr>
          <w:trHeight w:val="571" w:hRule="atLeast"/>
        </w:trPr>
        <w:tc>
          <w:tcPr>
            <w:tcW w:w="4591" w:type="dxa"/>
            <w:tcBorders/>
          </w:tcPr>
          <w:p>
            <w:pPr>
              <w:pStyle w:val="NormalUkr"/>
              <w:tabs>
                <w:tab w:val="clear" w:pos="709"/>
                <w:tab w:val="left" w:pos="5103" w:leader="none"/>
                <w:tab w:val="left" w:pos="8789" w:leader="none"/>
              </w:tabs>
              <w:bidi w:val="0"/>
              <w:snapToGrid w:val="false"/>
              <w:jc w:val="left"/>
              <w:rPr>
                <w:rFonts w:cs="Times New Roman"/>
                <w:b w:val="false"/>
                <w:b w:val="false"/>
                <w:bCs w:val="false"/>
                <w:sz w:val="18"/>
                <w:szCs w:val="18"/>
                <w:u w:val="none"/>
                <w:lang w:val="uk-UA"/>
              </w:rPr>
            </w:pPr>
            <w:r>
              <w:rPr>
                <w:rFonts w:cs="Times New Roman"/>
                <w:b w:val="false"/>
                <w:bCs w:val="false"/>
                <w:sz w:val="18"/>
                <w:szCs w:val="18"/>
                <w:u w:val="none"/>
                <w:lang w:val="uk-UA"/>
              </w:rPr>
            </w:r>
          </w:p>
          <w:p>
            <w:pPr>
              <w:pStyle w:val="NormalUkr"/>
              <w:tabs>
                <w:tab w:val="clear" w:pos="709"/>
                <w:tab w:val="left" w:pos="5103" w:leader="none"/>
                <w:tab w:val="left" w:pos="8789" w:leader="none"/>
              </w:tabs>
              <w:bidi w:val="0"/>
              <w:snapToGrid w:val="false"/>
              <w:jc w:val="left"/>
              <w:rPr>
                <w:rFonts w:cs="Times New Roman"/>
                <w:b w:val="false"/>
                <w:b w:val="false"/>
                <w:bCs w:val="false"/>
                <w:sz w:val="18"/>
                <w:szCs w:val="18"/>
                <w:u w:val="none"/>
                <w:lang w:val="uk-UA"/>
              </w:rPr>
            </w:pPr>
            <w:r>
              <w:rPr>
                <w:rFonts w:cs="Times New Roman"/>
                <w:b w:val="false"/>
                <w:bCs w:val="false"/>
                <w:sz w:val="18"/>
                <w:szCs w:val="18"/>
                <w:u w:val="none"/>
                <w:lang w:val="uk-UA"/>
              </w:rPr>
            </w:r>
          </w:p>
        </w:tc>
        <w:tc>
          <w:tcPr>
            <w:tcW w:w="5312" w:type="dxa"/>
            <w:tcBorders/>
          </w:tcPr>
          <w:p>
            <w:pPr>
              <w:pStyle w:val="Normal"/>
              <w:tabs>
                <w:tab w:val="clear" w:pos="709"/>
                <w:tab w:val="left" w:pos="5103" w:leader="none"/>
                <w:tab w:val="left" w:pos="8789" w:leader="none"/>
              </w:tabs>
              <w:bidi w:val="0"/>
              <w:snapToGrid w:val="false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9"/>
                <w:tab w:val="left" w:pos="5103" w:leader="none"/>
                <w:tab w:val="left" w:pos="8789" w:leader="none"/>
              </w:tabs>
              <w:bidi w:val="0"/>
              <w:snapToGrid w:val="false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9"/>
                <w:tab w:val="left" w:pos="5103" w:leader="none"/>
                <w:tab w:val="left" w:pos="8789" w:leader="none"/>
              </w:tabs>
              <w:bidi w:val="0"/>
              <w:snapToGrid w:val="false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9"/>
                <w:tab w:val="left" w:pos="5103" w:leader="none"/>
                <w:tab w:val="left" w:pos="8789" w:leader="none"/>
              </w:tabs>
              <w:bidi w:val="0"/>
              <w:snapToGrid w:val="false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9"/>
                <w:tab w:val="left" w:pos="5103" w:leader="none"/>
                <w:tab w:val="left" w:pos="8789" w:leader="none"/>
              </w:tabs>
              <w:bidi w:val="0"/>
              <w:snapToGrid w:val="false"/>
              <w:jc w:val="left"/>
              <w:rPr>
                <w:rStyle w:val="Style13"/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1"/>
                <w:sz w:val="18"/>
                <w:szCs w:val="18"/>
                <w:u w:val="none"/>
                <w:lang w:val="en-US" w:eastAsia="zh-CN" w:bidi="hi-IN"/>
              </w:rPr>
            </w:pPr>
            <w:r>
              <w:rPr/>
            </w:r>
          </w:p>
        </w:tc>
      </w:tr>
    </w:tbl>
    <w:p>
      <w:pPr>
        <w:pStyle w:val="Normal"/>
        <w:autoSpaceDE w:val="false"/>
        <w:bidi w:val="0"/>
        <w:spacing w:lineRule="auto" w:line="240" w:before="0" w:after="0"/>
        <w:ind w:left="6480" w:right="0" w:hanging="0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sectPr>
      <w:type w:val="nextPage"/>
      <w:pgSz w:w="11906" w:h="16838"/>
      <w:pgMar w:left="1134" w:right="850" w:header="0" w:top="567" w:footer="0" w:bottom="567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uk-UA" w:eastAsia="zh-CN" w:bidi="hi-IN"/>
    </w:rPr>
  </w:style>
  <w:style w:type="paragraph" w:styleId="3">
    <w:name w:val="Heading 3"/>
    <w:basedOn w:val="Normal"/>
    <w:next w:val="Style15"/>
    <w:qFormat/>
    <w:pPr>
      <w:keepNext w:val="true"/>
      <w:keepLines/>
      <w:numPr>
        <w:ilvl w:val="2"/>
        <w:numId w:val="1"/>
      </w:numPr>
      <w:suppressAutoHyphens w:val="true"/>
      <w:spacing w:before="200" w:after="200"/>
      <w:outlineLvl w:val="2"/>
    </w:pPr>
    <w:rPr>
      <w:b/>
      <w:bCs/>
      <w:color w:val="4F81BD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Mangal"/>
    </w:rPr>
  </w:style>
  <w:style w:type="paragraph" w:styleId="NormalUkr">
    <w:name w:val="NormalUkr"/>
    <w:basedOn w:val="Normal"/>
    <w:qFormat/>
    <w:pPr/>
    <w:rPr>
      <w:lang w:val="en-US"/>
    </w:rPr>
  </w:style>
  <w:style w:type="paragraph" w:styleId="Style19">
    <w:name w:val="Вміст таблиці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LibreOffice/6.4.6.2$Linux_X86_64 LibreOffice_project/40$Build-2</Application>
  <Pages>1</Pages>
  <Words>744</Words>
  <Characters>5155</Characters>
  <CharactersWithSpaces>5900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2020-11-09T09:50:29Z</dcterms:created>
  <dc:creator/>
  <dc:description/>
  <dc:language>uk-UA</dc:language>
  <cp:lastModifiedBy/>
  <dcterms:modified xsi:type="dcterms:W3CDTF">2020-11-09T09:51:06Z</dcterms:modified>
  <cp:revision>1</cp:revision>
  <dc:subject/>
  <dc:title/>
</cp:coreProperties>
</file>