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bidi w:val="0"/>
        <w:spacing w:lineRule="auto" w:line="240" w:before="0" w:after="0"/>
        <w:ind w:left="6480" w:right="0" w:hanging="0"/>
        <w:jc w:val="left"/>
        <w:rPr/>
      </w:pPr>
      <w:r>
        <w:rPr>
          <w:rFonts w:cs="Times New Roman"/>
          <w:color w:val="000000"/>
          <w:sz w:val="18"/>
          <w:szCs w:val="18"/>
        </w:rPr>
        <w:t xml:space="preserve">Додаток </w:t>
      </w:r>
      <w:r>
        <w:rPr>
          <w:rFonts w:cs="Times New Roman"/>
          <w:color w:val="000000"/>
          <w:sz w:val="18"/>
          <w:szCs w:val="18"/>
          <w:lang w:val="ru-RU"/>
        </w:rPr>
        <w:t>2</w:t>
      </w:r>
    </w:p>
    <w:p>
      <w:pPr>
        <w:pStyle w:val="Normal"/>
        <w:autoSpaceDE w:val="false"/>
        <w:bidi w:val="0"/>
        <w:spacing w:lineRule="auto" w:line="240" w:before="0" w:after="0"/>
        <w:ind w:left="6480" w:right="0" w:hanging="0"/>
        <w:jc w:val="left"/>
        <w:rPr>
          <w:rFonts w:cs="Times New Roman"/>
          <w:color w:val="000000"/>
          <w:sz w:val="18"/>
          <w:szCs w:val="18"/>
        </w:rPr>
      </w:pPr>
      <w:r>
        <w:rPr>
          <w:rFonts w:cs="Times New Roman"/>
          <w:color w:val="000000"/>
          <w:sz w:val="18"/>
          <w:szCs w:val="18"/>
        </w:rPr>
        <w:t xml:space="preserve">до договору електропостачальника про надання послуг з розподілу електричної енергії </w:t>
      </w:r>
    </w:p>
    <w:p>
      <w:pPr>
        <w:pStyle w:val="Normal"/>
        <w:autoSpaceDE w:val="false"/>
        <w:bidi w:val="0"/>
        <w:spacing w:lineRule="auto" w:line="240" w:before="0" w:after="0"/>
        <w:ind w:left="6480" w:right="0" w:hanging="0"/>
        <w:jc w:val="left"/>
        <w:rPr>
          <w:rFonts w:cs="Times New Roman"/>
          <w:color w:val="0000CC"/>
          <w:sz w:val="18"/>
          <w:szCs w:val="18"/>
        </w:rPr>
      </w:pPr>
      <w:r>
        <w:rPr>
          <w:rFonts w:cs="Times New Roman"/>
          <w:color w:val="0000CC"/>
          <w:sz w:val="18"/>
          <w:szCs w:val="18"/>
        </w:rPr>
      </w:r>
    </w:p>
    <w:p>
      <w:pPr>
        <w:pStyle w:val="Normal"/>
        <w:autoSpaceDE w:val="false"/>
        <w:bidi w:val="0"/>
        <w:spacing w:lineRule="auto" w:line="240" w:before="0" w:after="0"/>
        <w:jc w:val="center"/>
        <w:rPr>
          <w:rFonts w:cs="Times New Roman"/>
          <w:bCs/>
          <w:sz w:val="26"/>
          <w:szCs w:val="26"/>
        </w:rPr>
      </w:pPr>
      <w:r>
        <w:rPr>
          <w:rFonts w:cs="Times New Roman"/>
          <w:bCs/>
          <w:sz w:val="26"/>
          <w:szCs w:val="26"/>
        </w:rPr>
        <w:t>Порядок інформаційної взаємодії при здійсненні процедур припинення та відновлення розподілу електричної енергії Споживачам</w:t>
      </w:r>
    </w:p>
    <w:p>
      <w:pPr>
        <w:pStyle w:val="Normal"/>
        <w:autoSpaceDE w:val="false"/>
        <w:bidi w:val="0"/>
        <w:spacing w:lineRule="auto" w:line="240" w:before="0" w:after="0"/>
        <w:jc w:val="center"/>
        <w:rPr>
          <w:rFonts w:cs="Times New Roman"/>
          <w:bCs/>
          <w:sz w:val="18"/>
          <w:szCs w:val="18"/>
        </w:rPr>
      </w:pPr>
      <w:r>
        <w:rPr>
          <w:rFonts w:cs="Times New Roman"/>
          <w:bCs/>
          <w:sz w:val="18"/>
          <w:szCs w:val="18"/>
        </w:rPr>
      </w:r>
    </w:p>
    <w:p>
      <w:pPr>
        <w:pStyle w:val="Normal"/>
        <w:autoSpaceDE w:val="false"/>
        <w:bidi w:val="0"/>
        <w:spacing w:lineRule="auto" w:line="240" w:before="0" w:after="0"/>
        <w:ind w:left="0" w:right="0" w:firstLine="720"/>
        <w:jc w:val="both"/>
        <w:rPr/>
      </w:pPr>
      <w:r>
        <w:rPr>
          <w:rFonts w:cs="Times New Roman"/>
          <w:color w:val="000000"/>
          <w:sz w:val="18"/>
          <w:szCs w:val="18"/>
        </w:rPr>
        <w:t>1. Відповідно до вимог розд.11.5.</w:t>
      </w:r>
      <w:r>
        <w:rPr>
          <w:rFonts w:cs="Times New Roman"/>
          <w:color w:val="000000"/>
          <w:sz w:val="18"/>
          <w:szCs w:val="18"/>
          <w:lang w:val="ru-RU"/>
        </w:rPr>
        <w:t>12</w:t>
      </w:r>
      <w:r>
        <w:rPr>
          <w:rFonts w:cs="Times New Roman"/>
          <w:color w:val="000000"/>
          <w:sz w:val="18"/>
          <w:szCs w:val="18"/>
        </w:rPr>
        <w:t xml:space="preserve"> Кодексу систем розподілу (далі - КСР) та розд.7. Правил роздрібного ринку електричної енергії (далі - ПРРЕЕ) </w:t>
      </w:r>
      <w:r>
        <w:rPr>
          <w:rFonts w:cs="Times New Roman"/>
          <w:color w:val="000000"/>
          <w:sz w:val="18"/>
          <w:szCs w:val="18"/>
          <w:u w:val="single"/>
        </w:rPr>
        <w:t>АТ «Херсонобленерго»</w:t>
      </w:r>
      <w:r>
        <w:rPr>
          <w:rFonts w:cs="Times New Roman"/>
          <w:color w:val="000000"/>
          <w:sz w:val="18"/>
          <w:szCs w:val="18"/>
        </w:rPr>
        <w:t xml:space="preserve"> як Оператор системи розподілу (надалі ОСР) зобов’язується надавати Постачальнику </w:t>
      </w:r>
      <w:r>
        <w:rPr>
          <w:rFonts w:cs="Times New Roman"/>
          <w:b/>
          <w:bCs/>
          <w:color w:val="000000"/>
          <w:sz w:val="18"/>
          <w:szCs w:val="18"/>
        </w:rPr>
        <w:t>_</w:t>
      </w:r>
      <w:r>
        <w:rPr>
          <w:rFonts w:eastAsia="Times New Roman" w:cs="Times New Roman"/>
          <w:b/>
          <w:bCs/>
          <w:i w:val="false"/>
          <w:iCs w:val="false"/>
          <w:color w:val="000000"/>
          <w:spacing w:val="1"/>
          <w:sz w:val="18"/>
          <w:szCs w:val="18"/>
          <w:u w:val="none"/>
          <w:lang w:val="uk-UA"/>
        </w:rPr>
        <w:t>___________________________________________________________________________________</w:t>
      </w:r>
    </w:p>
    <w:p>
      <w:pPr>
        <w:pStyle w:val="Normal"/>
        <w:autoSpaceDE w:val="false"/>
        <w:bidi w:val="0"/>
        <w:spacing w:lineRule="auto" w:line="240" w:before="0" w:after="0"/>
        <w:jc w:val="both"/>
        <w:rPr>
          <w:rFonts w:cs="Times New Roman"/>
          <w:color w:val="000000"/>
          <w:sz w:val="18"/>
          <w:szCs w:val="18"/>
        </w:rPr>
      </w:pPr>
      <w:r>
        <w:rPr>
          <w:rFonts w:cs="Times New Roman"/>
          <w:color w:val="000000"/>
          <w:sz w:val="18"/>
          <w:szCs w:val="18"/>
        </w:rPr>
        <w:t xml:space="preserve">послуги з відключення та підключення об'єктів (точок розподілу) Споживачів відповідно до його письмового звернення. </w:t>
      </w:r>
    </w:p>
    <w:p>
      <w:pPr>
        <w:pStyle w:val="Normal"/>
        <w:autoSpaceDE w:val="false"/>
        <w:bidi w:val="0"/>
        <w:spacing w:lineRule="auto" w:line="240" w:before="0" w:after="0"/>
        <w:jc w:val="both"/>
        <w:rPr/>
      </w:pPr>
      <w:r>
        <w:rPr>
          <w:rFonts w:eastAsia="Times New Roman" w:cs="Times New Roman"/>
          <w:sz w:val="18"/>
          <w:szCs w:val="18"/>
          <w:lang w:eastAsia="ru-RU"/>
        </w:rPr>
        <w:t xml:space="preserve">            </w:t>
      </w:r>
      <w:r>
        <w:rPr>
          <w:rFonts w:cs="Times New Roman"/>
          <w:sz w:val="18"/>
          <w:szCs w:val="18"/>
          <w:lang w:eastAsia="ru-RU"/>
        </w:rPr>
        <w:t xml:space="preserve">2. Для відправлення звернень Сторони визначили наступні основні та резервні </w:t>
      </w:r>
      <w:r>
        <w:rPr>
          <w:rFonts w:cs="Times New Roman"/>
          <w:sz w:val="18"/>
          <w:szCs w:val="18"/>
          <w:lang w:val="en-US" w:eastAsia="ru-RU"/>
        </w:rPr>
        <w:t>Email</w:t>
      </w:r>
      <w:r>
        <w:rPr>
          <w:rFonts w:cs="Times New Roman"/>
          <w:sz w:val="18"/>
          <w:szCs w:val="18"/>
          <w:lang w:val="ru-RU" w:eastAsia="ru-RU"/>
        </w:rPr>
        <w:t xml:space="preserve"> </w:t>
      </w:r>
      <w:r>
        <w:rPr>
          <w:rFonts w:cs="Times New Roman"/>
          <w:sz w:val="18"/>
          <w:szCs w:val="18"/>
          <w:lang w:eastAsia="ru-RU"/>
        </w:rPr>
        <w:t>адреси відповідальних осіб:</w:t>
      </w:r>
    </w:p>
    <w:p>
      <w:pPr>
        <w:pStyle w:val="Normal"/>
        <w:autoSpaceDE w:val="false"/>
        <w:bidi w:val="0"/>
        <w:spacing w:lineRule="auto" w:line="240" w:before="0" w:after="0"/>
        <w:jc w:val="both"/>
        <w:rPr/>
      </w:pPr>
      <w:r>
        <w:rPr>
          <w:rFonts w:cs="Times New Roman"/>
          <w:sz w:val="18"/>
          <w:szCs w:val="18"/>
          <w:lang w:eastAsia="ru-RU"/>
        </w:rPr>
        <w:t>Постачальник: основна</w:t>
      </w:r>
      <w:r>
        <w:rPr>
          <w:rFonts w:cs="Times New Roman"/>
          <w:sz w:val="18"/>
          <w:szCs w:val="18"/>
          <w:u w:val="none"/>
          <w:lang w:eastAsia="ru-RU"/>
        </w:rPr>
        <w:t>;</w:t>
      </w:r>
      <w:r>
        <w:rPr>
          <w:rStyle w:val="Style14"/>
          <w:rFonts w:cs="Times New Roman"/>
          <w:b w:val="false"/>
          <w:bCs w:val="false"/>
          <w:i w:val="false"/>
          <w:iCs w:val="false"/>
          <w:color w:val="000000"/>
          <w:spacing w:val="1"/>
          <w:sz w:val="18"/>
          <w:szCs w:val="18"/>
          <w:u w:val="none"/>
          <w:lang w:val="en-US" w:eastAsia="ru-RU"/>
        </w:rPr>
        <w:t xml:space="preserve"> _____________________</w:t>
      </w:r>
      <w:r>
        <w:rPr>
          <w:rStyle w:val="Style14"/>
          <w:rFonts w:cs="Times New Roman"/>
          <w:b/>
          <w:bCs/>
          <w:i w:val="false"/>
          <w:iCs w:val="false"/>
          <w:color w:val="000000"/>
          <w:spacing w:val="1"/>
          <w:sz w:val="18"/>
          <w:szCs w:val="18"/>
          <w:u w:val="none"/>
          <w:lang w:val="en-US" w:eastAsia="ru-RU"/>
        </w:rPr>
        <w:t xml:space="preserve"> </w:t>
      </w:r>
      <w:r>
        <w:rPr>
          <w:rFonts w:cs="Times New Roman"/>
          <w:sz w:val="18"/>
          <w:szCs w:val="18"/>
          <w:u w:val="none"/>
          <w:lang w:eastAsia="ru-RU"/>
        </w:rPr>
        <w:t>резер</w:t>
      </w:r>
      <w:r>
        <w:rPr>
          <w:rFonts w:cs="Times New Roman"/>
          <w:sz w:val="18"/>
          <w:szCs w:val="18"/>
          <w:lang w:eastAsia="ru-RU"/>
        </w:rPr>
        <w:t xml:space="preserve">вна </w:t>
      </w:r>
      <w:r>
        <w:rPr>
          <w:rStyle w:val="Style14"/>
          <w:rFonts w:cs="Times New Roman"/>
          <w:b/>
          <w:bCs/>
          <w:i w:val="false"/>
          <w:iCs w:val="false"/>
          <w:color w:val="000000"/>
          <w:spacing w:val="1"/>
          <w:sz w:val="18"/>
          <w:szCs w:val="18"/>
          <w:u w:val="none"/>
          <w:lang w:val="en-US" w:eastAsia="ru-RU"/>
        </w:rPr>
        <w:t>_____________________</w:t>
      </w:r>
    </w:p>
    <w:p>
      <w:pPr>
        <w:pStyle w:val="Normal"/>
        <w:autoSpaceDE w:val="false"/>
        <w:bidi w:val="0"/>
        <w:spacing w:lineRule="auto" w:line="240" w:before="0" w:after="0"/>
        <w:jc w:val="both"/>
        <w:rPr/>
      </w:pPr>
      <w:r>
        <w:rPr>
          <w:rFonts w:cs="Times New Roman"/>
          <w:sz w:val="18"/>
          <w:szCs w:val="18"/>
          <w:lang w:eastAsia="ru-RU"/>
        </w:rPr>
        <w:t xml:space="preserve">ОСР : основна </w:t>
      </w:r>
      <w:r>
        <w:rPr>
          <w:rFonts w:cs="Times New Roman"/>
          <w:b/>
          <w:bCs/>
          <w:sz w:val="18"/>
          <w:szCs w:val="18"/>
          <w:lang w:eastAsia="ru-RU"/>
        </w:rPr>
        <w:t>kanc@co.ksoe.com.ua</w:t>
      </w:r>
      <w:r>
        <w:rPr>
          <w:rFonts w:cs="Times New Roman"/>
          <w:sz w:val="18"/>
          <w:szCs w:val="18"/>
          <w:lang w:eastAsia="ru-RU"/>
        </w:rPr>
        <w:t xml:space="preserve"> резервна </w:t>
      </w:r>
      <w:r>
        <w:rPr>
          <w:rFonts w:cs="Times New Roman"/>
          <w:b/>
          <w:bCs/>
          <w:sz w:val="18"/>
          <w:szCs w:val="18"/>
          <w:lang w:eastAsia="ru-RU"/>
        </w:rPr>
        <w:t>elena.levitskaya@co.ksoe.com.ua.</w:t>
      </w:r>
    </w:p>
    <w:p>
      <w:pPr>
        <w:pStyle w:val="Normal"/>
        <w:autoSpaceDE w:val="false"/>
        <w:bidi w:val="0"/>
        <w:spacing w:lineRule="auto" w:line="240" w:before="0" w:after="0"/>
        <w:jc w:val="both"/>
        <w:rPr/>
      </w:pPr>
      <w:r>
        <w:rPr>
          <w:rFonts w:cs="Times New Roman"/>
          <w:sz w:val="18"/>
          <w:szCs w:val="18"/>
          <w:lang w:eastAsia="ru-RU"/>
        </w:rPr>
        <w:tab/>
      </w:r>
      <w:r>
        <w:rPr>
          <w:rFonts w:cs="Times New Roman"/>
          <w:sz w:val="18"/>
          <w:szCs w:val="18"/>
          <w:lang w:val="ru-RU" w:eastAsia="ru-RU"/>
        </w:rPr>
        <w:t xml:space="preserve">3. </w:t>
      </w:r>
      <w:r>
        <w:rPr>
          <w:rFonts w:cs="Times New Roman"/>
          <w:sz w:val="18"/>
          <w:szCs w:val="18"/>
          <w:lang w:eastAsia="ru-RU"/>
        </w:rPr>
        <w:t xml:space="preserve">Відповідно до даного Порядку Отримувач повідомлень надає Відправнику підтвердження їх отримання засобами електронної пошти. </w:t>
      </w:r>
      <w:r>
        <w:rPr>
          <w:rFonts w:cs="Times New Roman"/>
          <w:color w:val="000000"/>
          <w:sz w:val="18"/>
          <w:szCs w:val="18"/>
        </w:rPr>
        <w:t xml:space="preserve">Датою отримання відправлень вважається дата отримання електронного повідомлення відповідальною особою. </w:t>
      </w:r>
      <w:r>
        <w:rPr>
          <w:rFonts w:cs="Times New Roman"/>
          <w:sz w:val="18"/>
          <w:szCs w:val="18"/>
          <w:lang w:eastAsia="ru-RU"/>
        </w:rPr>
        <w:t>Всі електронні повідомлення дублюються у паперовому вигляді і направляються поштовим відправленням. Всі повідомлення та реєстри якими сторони обмінюються між собою повинні мати наскрізну нумерацію для їх ідентифікації. У разі розбіжностей, паперовий формат документу є визначальним.</w:t>
      </w:r>
    </w:p>
    <w:p>
      <w:pPr>
        <w:pStyle w:val="Normal"/>
        <w:autoSpaceDE w:val="false"/>
        <w:bidi w:val="0"/>
        <w:spacing w:lineRule="auto" w:line="240" w:before="0" w:after="0"/>
        <w:jc w:val="both"/>
        <w:rPr/>
      </w:pPr>
      <w:r>
        <w:rPr>
          <w:rFonts w:cs="Times New Roman"/>
          <w:sz w:val="18"/>
          <w:szCs w:val="18"/>
          <w:lang w:eastAsia="ru-RU"/>
        </w:rPr>
        <w:tab/>
      </w:r>
      <w:r>
        <w:rPr>
          <w:rFonts w:cs="Times New Roman"/>
          <w:color w:val="000000"/>
          <w:sz w:val="18"/>
          <w:szCs w:val="18"/>
          <w:lang w:eastAsia="ru-RU"/>
        </w:rPr>
        <w:t xml:space="preserve">4. </w:t>
      </w:r>
      <w:r>
        <w:rPr>
          <w:rFonts w:cs="Times New Roman"/>
          <w:b/>
          <w:bCs/>
          <w:color w:val="000000"/>
          <w:sz w:val="18"/>
          <w:szCs w:val="18"/>
          <w:lang w:eastAsia="ru-RU"/>
        </w:rPr>
        <w:t>Відключення Споживача за ініціативою Постачальника виконується за наступною процедурою</w:t>
      </w:r>
      <w:r>
        <w:rPr>
          <w:rFonts w:cs="Times New Roman"/>
          <w:color w:val="000000"/>
          <w:sz w:val="18"/>
          <w:szCs w:val="18"/>
          <w:lang w:eastAsia="ru-RU"/>
        </w:rPr>
        <w:t>:</w:t>
      </w:r>
    </w:p>
    <w:p>
      <w:pPr>
        <w:pStyle w:val="Normal"/>
        <w:autoSpaceDE w:val="false"/>
        <w:bidi w:val="0"/>
        <w:spacing w:lineRule="auto" w:line="240" w:before="0" w:after="0"/>
        <w:jc w:val="both"/>
        <w:rPr>
          <w:rFonts w:cs="Times New Roman"/>
          <w:sz w:val="18"/>
          <w:szCs w:val="18"/>
          <w:lang w:eastAsia="ru-RU"/>
        </w:rPr>
      </w:pPr>
      <w:r>
        <w:rPr>
          <w:rFonts w:cs="Times New Roman"/>
          <w:sz w:val="18"/>
          <w:szCs w:val="18"/>
          <w:lang w:eastAsia="ru-RU"/>
        </w:rPr>
        <w:tab/>
        <w:t>4.1. Постачальник підтверджує, що він належним чином, в порядку установленому ПРРЕЕ та КСР, забезпечив попереднє повідомлення Споживача про можливе відключення.</w:t>
      </w:r>
    </w:p>
    <w:p>
      <w:pPr>
        <w:pStyle w:val="Normal"/>
        <w:autoSpaceDE w:val="false"/>
        <w:bidi w:val="0"/>
        <w:spacing w:lineRule="auto" w:line="240" w:before="0" w:after="0"/>
        <w:jc w:val="both"/>
        <w:rPr/>
      </w:pPr>
      <w:r>
        <w:rPr>
          <w:rFonts w:cs="Times New Roman"/>
          <w:sz w:val="18"/>
          <w:szCs w:val="18"/>
          <w:lang w:eastAsia="ru-RU"/>
        </w:rPr>
        <w:tab/>
        <w:t xml:space="preserve">4.2. Постачальник </w:t>
      </w:r>
      <w:r>
        <w:rPr>
          <w:rFonts w:cs="Times New Roman"/>
          <w:color w:val="000000"/>
          <w:sz w:val="18"/>
          <w:szCs w:val="18"/>
          <w:lang w:eastAsia="ru-RU"/>
        </w:rPr>
        <w:t>надсилає Оператору системи звернення з реєстром, за формою</w:t>
      </w:r>
      <w:r>
        <w:rPr>
          <w:rFonts w:cs="Times New Roman"/>
          <w:bCs/>
          <w:iCs/>
          <w:color w:val="000000"/>
          <w:sz w:val="18"/>
          <w:szCs w:val="18"/>
          <w:lang w:eastAsia="ru-RU"/>
        </w:rPr>
        <w:t xml:space="preserve"> наведеною</w:t>
      </w:r>
      <w:r>
        <w:rPr>
          <w:rFonts w:cs="Times New Roman"/>
          <w:b/>
          <w:bCs/>
          <w:i/>
          <w:iCs/>
          <w:color w:val="000000"/>
          <w:sz w:val="18"/>
          <w:szCs w:val="18"/>
          <w:lang w:eastAsia="ru-RU"/>
        </w:rPr>
        <w:t xml:space="preserve"> </w:t>
      </w:r>
      <w:r>
        <w:rPr>
          <w:rFonts w:cs="Times New Roman"/>
          <w:color w:val="000000"/>
          <w:sz w:val="18"/>
          <w:szCs w:val="18"/>
          <w:lang w:eastAsia="ru-RU"/>
        </w:rPr>
        <w:t xml:space="preserve"> в Додатку 2.1 до даного Порядку.</w:t>
      </w:r>
    </w:p>
    <w:p>
      <w:pPr>
        <w:pStyle w:val="Normal"/>
        <w:autoSpaceDE w:val="false"/>
        <w:bidi w:val="0"/>
        <w:spacing w:lineRule="auto" w:line="240" w:before="0" w:after="0"/>
        <w:jc w:val="both"/>
        <w:rPr>
          <w:rFonts w:cs="Times New Roman"/>
          <w:color w:val="000000"/>
          <w:sz w:val="18"/>
          <w:szCs w:val="18"/>
          <w:lang w:eastAsia="ru-RU"/>
        </w:rPr>
      </w:pPr>
      <w:r>
        <w:rPr>
          <w:rFonts w:cs="Times New Roman"/>
          <w:color w:val="000000"/>
          <w:sz w:val="18"/>
          <w:szCs w:val="18"/>
          <w:lang w:eastAsia="ru-RU"/>
        </w:rPr>
        <w:tab/>
        <w:t xml:space="preserve">4.3. Реєстр повинен містити дані, що ідентифікують відповідного Споживача електричної енергії ( EIC-код точки розподілу, назва споживача), причину (підставу) відключення об’єкту Споживача  згідно з п. 11.5.12 КСР та дату з якої повинно бути припинене електроживлення. </w:t>
      </w:r>
    </w:p>
    <w:p>
      <w:pPr>
        <w:pStyle w:val="Normal"/>
        <w:autoSpaceDE w:val="false"/>
        <w:bidi w:val="0"/>
        <w:spacing w:lineRule="auto" w:line="240" w:before="0" w:after="0"/>
        <w:jc w:val="both"/>
        <w:rPr>
          <w:rFonts w:cs="Times New Roman"/>
          <w:sz w:val="18"/>
          <w:szCs w:val="18"/>
          <w:lang w:eastAsia="ru-RU"/>
        </w:rPr>
      </w:pPr>
      <w:r>
        <w:rPr>
          <w:rFonts w:cs="Times New Roman"/>
          <w:sz w:val="18"/>
          <w:szCs w:val="18"/>
          <w:lang w:eastAsia="ru-RU"/>
        </w:rPr>
        <w:tab/>
        <w:t xml:space="preserve">4.4. Постачальник забезпечує включення до реєстру на відключення виключно тих Споживачів підстави припинення електроживлення яких  відповідають ПРРЕЕ, а для категорії вразливих споживачів вимогам відповідної постанови кабінету міністрів після її прийняття. ОСР не вимагає додаткового обґрунтування причин відключення Споживачів внесених у реєстр Постачальника. </w:t>
      </w:r>
    </w:p>
    <w:p>
      <w:pPr>
        <w:pStyle w:val="Normal"/>
        <w:autoSpaceDE w:val="false"/>
        <w:bidi w:val="0"/>
        <w:spacing w:lineRule="auto" w:line="240" w:before="0" w:after="0"/>
        <w:jc w:val="both"/>
        <w:rPr>
          <w:rFonts w:cs="Times New Roman"/>
          <w:sz w:val="18"/>
          <w:szCs w:val="18"/>
          <w:lang w:eastAsia="ru-RU"/>
        </w:rPr>
      </w:pPr>
      <w:r>
        <w:rPr>
          <w:rFonts w:cs="Times New Roman"/>
          <w:sz w:val="18"/>
          <w:szCs w:val="18"/>
          <w:lang w:eastAsia="ru-RU"/>
        </w:rPr>
        <w:tab/>
        <w:t xml:space="preserve">4.5. Оператор системи має право відхилити звернення Постачальника у разі невідповідності його вимогам ПРРЕЕ та даному Порядку, про що повідомляє Постачальника протягом 2 (двох) робочих днів з дати отримання звернення. </w:t>
      </w:r>
    </w:p>
    <w:p>
      <w:pPr>
        <w:pStyle w:val="Normal"/>
        <w:autoSpaceDE w:val="false"/>
        <w:bidi w:val="0"/>
        <w:spacing w:lineRule="auto" w:line="240" w:before="0" w:after="0"/>
        <w:ind w:left="0" w:right="0" w:firstLine="720"/>
        <w:jc w:val="both"/>
        <w:rPr/>
      </w:pPr>
      <w:r>
        <w:rPr>
          <w:rFonts w:cs="Times New Roman"/>
          <w:color w:val="000000"/>
          <w:sz w:val="18"/>
          <w:szCs w:val="18"/>
        </w:rPr>
        <w:t xml:space="preserve">4.6.  ОСР повинен припинити постачання електричної енергії Споживачу протягом             10 робочих днів з дати отримання звернення від Постачальника, </w:t>
      </w:r>
      <w:r>
        <w:rPr>
          <w:rFonts w:cs="Times New Roman"/>
          <w:i w:val="false"/>
          <w:iCs w:val="false"/>
          <w:color w:val="000000"/>
          <w:sz w:val="18"/>
          <w:szCs w:val="18"/>
        </w:rPr>
        <w:t>але не раніше дати вказаної у зверненні.</w:t>
      </w:r>
    </w:p>
    <w:p>
      <w:pPr>
        <w:pStyle w:val="Normal"/>
        <w:autoSpaceDE w:val="false"/>
        <w:bidi w:val="0"/>
        <w:spacing w:lineRule="auto" w:line="240" w:before="0" w:after="0"/>
        <w:ind w:left="0" w:right="0" w:firstLine="720"/>
        <w:jc w:val="both"/>
        <w:rPr/>
      </w:pPr>
      <w:r>
        <w:rPr>
          <w:rFonts w:cs="Times New Roman"/>
          <w:color w:val="000000"/>
          <w:sz w:val="18"/>
          <w:szCs w:val="18"/>
        </w:rPr>
        <w:t xml:space="preserve">4.7.  </w:t>
      </w:r>
      <w:r>
        <w:rPr>
          <w:rFonts w:cs="Times New Roman"/>
          <w:b/>
          <w:color w:val="000000"/>
          <w:sz w:val="18"/>
          <w:szCs w:val="18"/>
        </w:rPr>
        <w:t>На протязі двох робочих днів</w:t>
      </w:r>
      <w:r>
        <w:rPr>
          <w:rFonts w:cs="Times New Roman"/>
          <w:color w:val="000000"/>
          <w:sz w:val="18"/>
          <w:szCs w:val="18"/>
        </w:rPr>
        <w:t xml:space="preserve"> з моменту отримання звернення Постачальника оператор системи забезпечує:</w:t>
      </w:r>
    </w:p>
    <w:p>
      <w:pPr>
        <w:pStyle w:val="Normal"/>
        <w:autoSpaceDE w:val="false"/>
        <w:bidi w:val="0"/>
        <w:spacing w:lineRule="auto" w:line="240" w:before="0" w:after="0"/>
        <w:ind w:left="0" w:right="0" w:firstLine="720"/>
        <w:jc w:val="both"/>
        <w:rPr>
          <w:rFonts w:cs="Times New Roman"/>
          <w:color w:val="000000"/>
          <w:sz w:val="18"/>
          <w:szCs w:val="18"/>
        </w:rPr>
      </w:pPr>
      <w:r>
        <w:rPr>
          <w:rFonts w:cs="Times New Roman"/>
          <w:color w:val="000000"/>
          <w:sz w:val="18"/>
          <w:szCs w:val="18"/>
        </w:rPr>
        <w:t>- визначення технічної можливості проведення відключення;</w:t>
      </w:r>
    </w:p>
    <w:p>
      <w:pPr>
        <w:pStyle w:val="Normal"/>
        <w:autoSpaceDE w:val="false"/>
        <w:bidi w:val="0"/>
        <w:spacing w:lineRule="auto" w:line="240" w:before="0" w:after="0"/>
        <w:ind w:left="0" w:right="0" w:firstLine="720"/>
        <w:jc w:val="both"/>
        <w:rPr>
          <w:rFonts w:cs="Times New Roman"/>
          <w:color w:val="000000"/>
          <w:sz w:val="18"/>
          <w:szCs w:val="18"/>
        </w:rPr>
      </w:pPr>
      <w:r>
        <w:rPr>
          <w:rFonts w:cs="Times New Roman"/>
          <w:color w:val="000000"/>
          <w:sz w:val="18"/>
          <w:szCs w:val="18"/>
        </w:rPr>
        <w:t>- визначення дати  здійснення відключення відповідно до вимог ПРРЕЕ та інших нормативних документів;</w:t>
      </w:r>
    </w:p>
    <w:p>
      <w:pPr>
        <w:pStyle w:val="Rvps2"/>
        <w:spacing w:before="0" w:after="0"/>
        <w:ind w:left="0" w:right="0" w:firstLine="300"/>
        <w:jc w:val="both"/>
        <w:rPr>
          <w:rFonts w:cs="Times New Roman"/>
          <w:color w:val="000000"/>
          <w:sz w:val="18"/>
          <w:szCs w:val="18"/>
          <w:lang w:val="uk-UA"/>
        </w:rPr>
      </w:pPr>
      <w:r>
        <w:rPr>
          <w:rFonts w:cs="Times New Roman"/>
          <w:color w:val="000000"/>
          <w:sz w:val="18"/>
          <w:szCs w:val="18"/>
          <w:lang w:val="uk-UA"/>
        </w:rPr>
        <w:t xml:space="preserve">    </w:t>
      </w:r>
      <w:r>
        <w:rPr>
          <w:rFonts w:cs="Times New Roman"/>
          <w:color w:val="000000"/>
          <w:sz w:val="18"/>
          <w:szCs w:val="18"/>
          <w:lang w:val="uk-UA"/>
        </w:rPr>
        <w:t>4.8. За 5 робочих днів до запланованої дати припинення розподілу ОСР забезпечує направлення Споживачу та Постачальнику (за формою Додатку 2.2 до даного Порядку) повідомлення про припинення електроживлення.</w:t>
      </w:r>
    </w:p>
    <w:p>
      <w:pPr>
        <w:pStyle w:val="Rvps2"/>
        <w:spacing w:before="0" w:after="0"/>
        <w:ind w:left="0" w:right="0" w:firstLine="300"/>
        <w:jc w:val="both"/>
        <w:rPr/>
      </w:pPr>
      <w:r>
        <w:rPr>
          <w:rFonts w:cs="Times New Roman"/>
          <w:color w:val="000000"/>
          <w:sz w:val="18"/>
          <w:szCs w:val="18"/>
          <w:lang w:val="uk-UA"/>
        </w:rPr>
        <w:t xml:space="preserve">   </w:t>
      </w:r>
      <w:r>
        <w:rPr>
          <w:rFonts w:cs="Times New Roman"/>
          <w:color w:val="000000"/>
          <w:sz w:val="18"/>
          <w:szCs w:val="18"/>
          <w:lang w:val="uk-UA" w:eastAsia="zh-CN" w:bidi="ar-SA"/>
        </w:rPr>
        <w:t xml:space="preserve">   </w:t>
      </w:r>
      <w:r>
        <w:rPr>
          <w:rFonts w:cs="Times New Roman"/>
          <w:color w:val="000000"/>
          <w:sz w:val="18"/>
          <w:szCs w:val="18"/>
          <w:lang w:val="uk-UA" w:eastAsia="zh-CN" w:bidi="ar-SA"/>
        </w:rPr>
        <w:t xml:space="preserve">4.9. Оператор системи не проводить заходи відключення Споживачів у визначену дату,  якщо </w:t>
      </w:r>
      <w:r>
        <w:rPr>
          <w:rFonts w:cs="Times New Roman"/>
          <w:bCs/>
          <w:iCs/>
          <w:color w:val="000000"/>
          <w:sz w:val="18"/>
          <w:szCs w:val="18"/>
          <w:lang w:val="uk-UA" w:eastAsia="zh-CN" w:bidi="ar-SA"/>
        </w:rPr>
        <w:t>не пізніше 9-ої години</w:t>
      </w:r>
      <w:r>
        <w:rPr>
          <w:rFonts w:cs="Times New Roman"/>
          <w:color w:val="000000"/>
          <w:sz w:val="18"/>
          <w:szCs w:val="18"/>
          <w:lang w:val="uk-UA" w:eastAsia="zh-CN" w:bidi="ar-SA"/>
        </w:rPr>
        <w:t xml:space="preserve"> запланованої дати</w:t>
      </w:r>
      <w:r>
        <w:rPr>
          <w:rFonts w:cs="Times New Roman"/>
          <w:bCs/>
          <w:color w:val="000000"/>
          <w:sz w:val="18"/>
          <w:szCs w:val="18"/>
          <w:lang w:val="uk-UA" w:eastAsia="zh-CN" w:bidi="ar-SA"/>
        </w:rPr>
        <w:t xml:space="preserve"> відключення</w:t>
      </w:r>
      <w:r>
        <w:rPr>
          <w:rFonts w:cs="Times New Roman"/>
          <w:color w:val="000000"/>
          <w:sz w:val="18"/>
          <w:szCs w:val="18"/>
          <w:lang w:val="uk-UA" w:eastAsia="zh-CN" w:bidi="ar-SA"/>
        </w:rPr>
        <w:t xml:space="preserve"> Постачальник надіслав Оператору системи  повідомлення про скасування процедури припинення електропостачання окремим Споживачам. Повідомлення надсилається електронною поштою у вигляді реєстру  за формою наведеній у</w:t>
      </w:r>
      <w:r>
        <w:rPr>
          <w:rFonts w:cs="Times New Roman"/>
          <w:bCs/>
          <w:iCs/>
          <w:color w:val="000000"/>
          <w:sz w:val="18"/>
          <w:szCs w:val="18"/>
          <w:lang w:val="uk-UA" w:eastAsia="zh-CN" w:bidi="ar-SA"/>
        </w:rPr>
        <w:t xml:space="preserve"> Додатку 2.3 до даного Порядку</w:t>
      </w:r>
      <w:r>
        <w:rPr>
          <w:rFonts w:cs="Times New Roman"/>
          <w:b/>
          <w:bCs/>
          <w:i/>
          <w:iCs/>
          <w:color w:val="000000"/>
          <w:sz w:val="18"/>
          <w:szCs w:val="18"/>
          <w:lang w:val="uk-UA" w:eastAsia="zh-CN" w:bidi="ar-SA"/>
        </w:rPr>
        <w:t>.</w:t>
      </w:r>
      <w:r>
        <w:rPr>
          <w:rFonts w:cs="Times New Roman"/>
          <w:color w:val="000000"/>
          <w:sz w:val="18"/>
          <w:szCs w:val="18"/>
          <w:lang w:val="uk-UA" w:eastAsia="zh-CN" w:bidi="ar-SA"/>
        </w:rPr>
        <w:t xml:space="preserve"> Якщо Постачальник вчасно не повідомив Оператора системи про те, що відпала необхідність припинення електропостачання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Постачальник зобов'язаний відшкодувати Оператору системи відповідні витрати на здійснення зазначених дій, згідно з п. 11.5.12 КСР.</w:t>
      </w:r>
    </w:p>
    <w:p>
      <w:pPr>
        <w:pStyle w:val="Normal"/>
        <w:autoSpaceDE w:val="false"/>
        <w:bidi w:val="0"/>
        <w:spacing w:lineRule="auto" w:line="240" w:before="0" w:after="0"/>
        <w:ind w:left="0" w:right="0" w:firstLine="720"/>
        <w:jc w:val="both"/>
        <w:rPr/>
      </w:pPr>
      <w:r>
        <w:rPr>
          <w:rFonts w:cs="Times New Roman"/>
          <w:color w:val="000000"/>
          <w:sz w:val="18"/>
          <w:szCs w:val="18"/>
        </w:rPr>
        <w:t xml:space="preserve">4.10.  Під час здійснення відключення електроустановок споживача персонал Оператора системи у присутності споживача здійснює фіксацію показів засобів обліку споживача на момент припинення розподілу електричної енергії, яка оформлюється відповідним актом та не пізніше наступного робочого дня надається на електронну адресу Постачальника у вигляді реєстру </w:t>
      </w:r>
      <w:r>
        <w:rPr>
          <w:rFonts w:cs="Times New Roman"/>
          <w:bCs/>
          <w:iCs/>
          <w:color w:val="000000"/>
          <w:sz w:val="18"/>
          <w:szCs w:val="18"/>
        </w:rPr>
        <w:t>за формою Додатка 2.4 до даного Порядку</w:t>
      </w:r>
      <w:r>
        <w:rPr>
          <w:rFonts w:cs="Times New Roman"/>
          <w:color w:val="000000"/>
          <w:sz w:val="18"/>
          <w:szCs w:val="18"/>
        </w:rPr>
        <w:t xml:space="preserve">. </w:t>
      </w:r>
    </w:p>
    <w:p>
      <w:pPr>
        <w:pStyle w:val="Normal"/>
        <w:autoSpaceDE w:val="false"/>
        <w:bidi w:val="0"/>
        <w:spacing w:lineRule="auto" w:line="240" w:before="0" w:after="0"/>
        <w:ind w:left="0" w:right="0" w:firstLine="720"/>
        <w:jc w:val="both"/>
        <w:rPr>
          <w:rFonts w:cs="Times New Roman"/>
          <w:color w:val="000000"/>
          <w:sz w:val="18"/>
          <w:szCs w:val="18"/>
        </w:rPr>
      </w:pPr>
      <w:r>
        <w:rPr>
          <w:rFonts w:cs="Times New Roman"/>
          <w:color w:val="000000"/>
          <w:sz w:val="18"/>
          <w:szCs w:val="18"/>
        </w:rPr>
        <w:t>4.11. У разі відсутності можливості зафіксувати покази засобів обліку при здійсненні відключення електроустановок споживача, працівниками Оператора системи оформлюється відповідний Акт про не допуск, відповідно до положень п. 1.7 Розділу Х Кодексу комерційного обліку електричної енергії (далі – ККО). У такому випадку фактичний обсяг розподілу та споживання електричної енергії по Споживачу за розрахунковий місяць визначається Оператором системи розрахунковим шляхом за значенням середньодобового обсягу споживання. Середньодобове споживання визначається, виходячи з даних про покази лічильника, зафіксовані між двома послідовними зчитуваннями показів, та кількості днів між цими зчитуваннями, згідно з п. 6.4 Розділу ХІІІ ККО.</w:t>
      </w:r>
    </w:p>
    <w:p>
      <w:pPr>
        <w:pStyle w:val="Normal"/>
        <w:autoSpaceDE w:val="false"/>
        <w:bidi w:val="0"/>
        <w:spacing w:lineRule="auto" w:line="240" w:before="0" w:after="0"/>
        <w:ind w:left="0" w:right="0" w:firstLine="720"/>
        <w:jc w:val="both"/>
        <w:rPr>
          <w:rFonts w:cs="Times New Roman"/>
          <w:color w:val="000000"/>
          <w:sz w:val="18"/>
          <w:szCs w:val="18"/>
        </w:rPr>
      </w:pPr>
      <w:r>
        <w:rPr>
          <w:rFonts w:cs="Times New Roman"/>
          <w:color w:val="000000"/>
          <w:sz w:val="18"/>
          <w:szCs w:val="18"/>
        </w:rPr>
        <w:t>4.12.  У разі незабезпечення споживачем безперешкодного регламентованого доступу уповноважених представників Оператора системи до власних електроустановок для проведення вибіркового відключення струмоприймачів з наступним пломбуванням пристроїв їх підключення, цими представниками оформлюється відповідний акт про недопуск згідно з п. 1.7 Розд. Х ККО.</w:t>
      </w:r>
    </w:p>
    <w:p>
      <w:pPr>
        <w:pStyle w:val="Normal"/>
        <w:autoSpaceDE w:val="false"/>
        <w:bidi w:val="0"/>
        <w:spacing w:lineRule="auto" w:line="240" w:before="0" w:after="0"/>
        <w:ind w:left="0" w:right="0" w:firstLine="720"/>
        <w:jc w:val="both"/>
        <w:rPr/>
      </w:pPr>
      <w:r>
        <w:rPr>
          <w:rFonts w:cs="Times New Roman"/>
          <w:color w:val="000000"/>
          <w:sz w:val="18"/>
          <w:szCs w:val="18"/>
        </w:rPr>
        <w:t xml:space="preserve">4.13. Акт про недопуск, у разі незабезпечення споживачем </w:t>
      </w:r>
      <w:r>
        <w:rPr>
          <w:rFonts w:eastAsia="Times New Roman" w:cs="Times New Roman"/>
          <w:color w:val="000000"/>
          <w:sz w:val="18"/>
          <w:szCs w:val="18"/>
        </w:rPr>
        <w:t>(</w:t>
      </w:r>
      <w:r>
        <w:rPr>
          <w:rFonts w:cs="Times New Roman"/>
          <w:color w:val="000000"/>
          <w:sz w:val="18"/>
          <w:szCs w:val="18"/>
        </w:rPr>
        <w:t xml:space="preserve">основним споживачем) безперешкодного регламентованого доступу уповноваженим представникам Оператора системи до власних електроустановок для проведення вибіркового відключення його струмоприймачів, підписаний уповноваженою особою Оператора системи, на наступний робочий день після його оформлення  направляється Постачальнику, з повідомленням щодо необхідності надання Оператору системи додатково </w:t>
      </w:r>
      <w:r>
        <w:rPr>
          <w:rFonts w:cs="Times New Roman"/>
          <w:bCs/>
          <w:iCs/>
          <w:color w:val="000000"/>
          <w:sz w:val="18"/>
          <w:szCs w:val="18"/>
        </w:rPr>
        <w:t>10 календарних днів</w:t>
      </w:r>
      <w:r>
        <w:rPr>
          <w:rFonts w:cs="Times New Roman"/>
          <w:color w:val="000000"/>
          <w:sz w:val="18"/>
          <w:szCs w:val="18"/>
        </w:rPr>
        <w:t xml:space="preserve"> для проведення ним відповідних робіт по припиненню електропостачання споживачу (основному споживачу), з організацією електроживлення інших споживачів (субспоживачів) за іншою схемою, для забезпечення відповідно до положень абз. 2 п. 7.4 ПРРЕЕ та абз. 1 п. 7.7 ПРРЕЕ їх безперебійного електропостачання. Постачальник забезпечує оплату розподіленої та спожитої електричної енергії на об’єкти споживачів (основних споживачів), які підлягають відключенню, від дати отримання ним Акта про недопуск до дати здійснення Оператором системи припинення електропостачання на об’єкт такого споживача (основного споживача).</w:t>
      </w:r>
    </w:p>
    <w:p>
      <w:pPr>
        <w:pStyle w:val="Normal"/>
        <w:autoSpaceDE w:val="false"/>
        <w:bidi w:val="0"/>
        <w:spacing w:lineRule="auto" w:line="240" w:before="0" w:after="0"/>
        <w:ind w:left="0" w:right="0" w:firstLine="720"/>
        <w:jc w:val="both"/>
        <w:rPr/>
      </w:pPr>
      <w:r>
        <w:rPr>
          <w:rFonts w:cs="Times New Roman"/>
          <w:color w:val="000000"/>
          <w:sz w:val="18"/>
          <w:szCs w:val="18"/>
        </w:rPr>
        <w:t xml:space="preserve">5. </w:t>
      </w:r>
      <w:r>
        <w:rPr>
          <w:rFonts w:cs="Times New Roman"/>
          <w:bCs/>
          <w:color w:val="000000"/>
          <w:sz w:val="18"/>
          <w:szCs w:val="18"/>
        </w:rPr>
        <w:t>Відновлення постачання електричної енергії споживачам за ініціативою Постачальника</w:t>
      </w:r>
      <w:r>
        <w:rPr>
          <w:rFonts w:cs="Times New Roman"/>
          <w:color w:val="000000"/>
          <w:sz w:val="18"/>
          <w:szCs w:val="18"/>
        </w:rPr>
        <w:t xml:space="preserve"> здійснюється шляхом направлення Оператору системи звернення та реєстру за формою </w:t>
      </w:r>
      <w:r>
        <w:rPr>
          <w:rFonts w:cs="Times New Roman"/>
          <w:bCs/>
          <w:iCs/>
          <w:color w:val="000000"/>
          <w:sz w:val="18"/>
          <w:szCs w:val="18"/>
        </w:rPr>
        <w:t>Додатку 2.</w:t>
      </w:r>
      <w:r>
        <w:rPr>
          <w:rFonts w:cs="Times New Roman"/>
          <w:bCs/>
          <w:iCs/>
          <w:color w:val="000000"/>
          <w:sz w:val="18"/>
          <w:szCs w:val="18"/>
          <w:lang w:val="ru-RU"/>
        </w:rPr>
        <w:t>5</w:t>
      </w:r>
      <w:r>
        <w:rPr>
          <w:rFonts w:cs="Times New Roman"/>
          <w:bCs/>
          <w:iCs/>
          <w:color w:val="000000"/>
          <w:sz w:val="18"/>
          <w:szCs w:val="18"/>
        </w:rPr>
        <w:t xml:space="preserve"> до даного Порядку. Звернення формується</w:t>
      </w:r>
      <w:r>
        <w:rPr>
          <w:rFonts w:cs="Times New Roman"/>
          <w:color w:val="000000"/>
          <w:sz w:val="18"/>
          <w:szCs w:val="18"/>
        </w:rPr>
        <w:t xml:space="preserve"> у день отримання Постачальником інформації про усунення споживачем порушень, згідно з   п. 7.12 ПРРЕЕ.</w:t>
      </w:r>
    </w:p>
    <w:p>
      <w:pPr>
        <w:pStyle w:val="Normal"/>
        <w:bidi w:val="0"/>
        <w:spacing w:lineRule="auto" w:line="240" w:before="0" w:after="0"/>
        <w:ind w:left="0" w:right="0" w:firstLine="720"/>
        <w:jc w:val="both"/>
        <w:rPr/>
      </w:pPr>
      <w:r>
        <w:rPr>
          <w:rFonts w:cs="Times New Roman"/>
          <w:color w:val="000000"/>
          <w:sz w:val="18"/>
          <w:szCs w:val="18"/>
        </w:rPr>
        <w:t>6. Оператор системи проводить відновлення постачання електричної енергії протягом</w:t>
      </w:r>
      <w:r>
        <w:rPr>
          <w:rFonts w:cs="Times New Roman"/>
          <w:bCs/>
          <w:color w:val="000000"/>
          <w:sz w:val="18"/>
          <w:szCs w:val="18"/>
        </w:rPr>
        <w:t xml:space="preserve"> 3 робочих днів у містах та 5 (п’яти) робочих днів у сільській місцевості</w:t>
      </w:r>
      <w:r>
        <w:rPr>
          <w:rFonts w:cs="Times New Roman"/>
          <w:color w:val="000000"/>
          <w:sz w:val="18"/>
          <w:szCs w:val="18"/>
        </w:rPr>
        <w:t xml:space="preserve">, згідно  з п. 11.5.23 КСР. При виконанні заходів з  відновлення постачання електричної енергії до електроустановок споживача Оператор системи фіксує покази засобів обліку електричної енергії, та </w:t>
      </w:r>
      <w:r>
        <w:rPr>
          <w:rFonts w:cs="Times New Roman"/>
          <w:bCs/>
          <w:color w:val="000000"/>
          <w:sz w:val="18"/>
          <w:szCs w:val="18"/>
        </w:rPr>
        <w:t>не пізніше наступного робочого дня</w:t>
      </w:r>
      <w:r>
        <w:rPr>
          <w:rFonts w:cs="Times New Roman"/>
          <w:color w:val="000000"/>
          <w:sz w:val="18"/>
          <w:szCs w:val="18"/>
        </w:rPr>
        <w:t xml:space="preserve"> надає їх на  адресу Постачальника у вигляді реєстру </w:t>
      </w:r>
      <w:r>
        <w:rPr>
          <w:rFonts w:cs="Times New Roman"/>
          <w:bCs/>
          <w:iCs/>
          <w:color w:val="000000"/>
          <w:sz w:val="18"/>
          <w:szCs w:val="18"/>
        </w:rPr>
        <w:t>за формою Додатку 2.6 до цього Порядку</w:t>
      </w:r>
      <w:r>
        <w:rPr>
          <w:rFonts w:cs="Times New Roman"/>
          <w:color w:val="000000"/>
          <w:sz w:val="18"/>
          <w:szCs w:val="18"/>
        </w:rPr>
        <w:t xml:space="preserve">. </w:t>
      </w:r>
    </w:p>
    <w:p>
      <w:pPr>
        <w:pStyle w:val="Normal"/>
        <w:bidi w:val="0"/>
        <w:spacing w:lineRule="auto" w:line="240" w:before="0" w:after="0"/>
        <w:ind w:left="0" w:right="0" w:firstLine="720"/>
        <w:jc w:val="both"/>
        <w:rPr>
          <w:rFonts w:cs="Times New Roman"/>
          <w:color w:val="000000"/>
          <w:sz w:val="18"/>
          <w:szCs w:val="18"/>
        </w:rPr>
      </w:pPr>
      <w:r>
        <w:rPr>
          <w:rFonts w:cs="Times New Roman"/>
          <w:color w:val="000000"/>
          <w:sz w:val="18"/>
          <w:szCs w:val="18"/>
        </w:rPr>
        <w:t>7. Протягом перших 5 робочих днів місяця наступного за розрахунковим ОСР, на підставі оприлюднених на власному сайті калькуляцій робіт з відключення/підключення точок розподілу, визначає загальний обсяг та вартість виконаних додаткових робіт за місяць.</w:t>
      </w:r>
    </w:p>
    <w:p>
      <w:pPr>
        <w:pStyle w:val="Normal"/>
        <w:bidi w:val="0"/>
        <w:spacing w:lineRule="auto" w:line="240" w:before="0" w:after="0"/>
        <w:ind w:left="0" w:right="0" w:firstLine="720"/>
        <w:jc w:val="both"/>
        <w:rPr/>
      </w:pPr>
      <w:r>
        <w:rPr>
          <w:rFonts w:cs="Times New Roman"/>
          <w:color w:val="000000"/>
          <w:sz w:val="18"/>
          <w:szCs w:val="18"/>
        </w:rPr>
        <w:t xml:space="preserve">8. Не пізніше 5го робочого дня наступного місяця ОСР надсилає Постачальнику на електронну адресу (в форматі </w:t>
      </w:r>
      <w:r>
        <w:rPr>
          <w:rFonts w:cs="Times New Roman"/>
          <w:bCs/>
          <w:iCs/>
          <w:color w:val="000000"/>
          <w:sz w:val="18"/>
          <w:szCs w:val="18"/>
          <w:lang w:val="en-US"/>
        </w:rPr>
        <w:t>PDF</w:t>
      </w:r>
      <w:r>
        <w:rPr>
          <w:rFonts w:cs="Times New Roman"/>
          <w:bCs/>
          <w:iCs/>
          <w:color w:val="000000"/>
          <w:sz w:val="18"/>
          <w:szCs w:val="18"/>
        </w:rPr>
        <w:t>) підписані кошториси витрат, рахунки та  Акти приймання-передачі виконаних робіт за місяць що минув.</w:t>
      </w:r>
      <w:r>
        <w:rPr>
          <w:rFonts w:cs="Times New Roman"/>
          <w:color w:val="000000"/>
          <w:sz w:val="18"/>
          <w:szCs w:val="18"/>
        </w:rPr>
        <w:t xml:space="preserve"> </w:t>
      </w:r>
      <w:r>
        <w:rPr>
          <w:rFonts w:cs="Times New Roman"/>
          <w:bCs/>
          <w:iCs/>
          <w:color w:val="000000"/>
          <w:sz w:val="18"/>
          <w:szCs w:val="18"/>
        </w:rPr>
        <w:t>В цей же день на адресу Постачальника поштовим відправленням направляються по два примірники оригіналів зазначених документів у паперовому вигляді.</w:t>
      </w:r>
    </w:p>
    <w:p>
      <w:pPr>
        <w:pStyle w:val="Normal"/>
        <w:bidi w:val="0"/>
        <w:spacing w:lineRule="auto" w:line="240" w:before="0" w:after="0"/>
        <w:ind w:left="0" w:right="0" w:firstLine="720"/>
        <w:jc w:val="both"/>
        <w:rPr/>
      </w:pPr>
      <w:r>
        <w:rPr>
          <w:rFonts w:cs="Times New Roman"/>
          <w:color w:val="000000"/>
          <w:sz w:val="18"/>
          <w:szCs w:val="18"/>
        </w:rPr>
        <w:t xml:space="preserve">9. Постачальник після отримання Актів приймання –передачі виконаних робіт в електронному вигляді зобов’язаний підписати їх протягом двох робочих днів та направити електронною поштою Оператору системи (в форматі </w:t>
      </w:r>
      <w:r>
        <w:rPr>
          <w:rFonts w:cs="Times New Roman"/>
          <w:bCs/>
          <w:iCs/>
          <w:color w:val="000000"/>
          <w:sz w:val="18"/>
          <w:szCs w:val="18"/>
          <w:lang w:val="en-US"/>
        </w:rPr>
        <w:t>PDF</w:t>
      </w:r>
      <w:r>
        <w:rPr>
          <w:rFonts w:cs="Times New Roman"/>
          <w:bCs/>
          <w:iCs/>
          <w:color w:val="000000"/>
          <w:sz w:val="18"/>
          <w:szCs w:val="18"/>
        </w:rPr>
        <w:t xml:space="preserve">). Після отримання оригіналів Актів у паперовому вигляді Постачальник повертає один примірник оригіналу з підписом та печаткою поштовим відправленням. не пізніше 10 числа.  </w:t>
      </w:r>
    </w:p>
    <w:p>
      <w:pPr>
        <w:pStyle w:val="Normal"/>
        <w:autoSpaceDE w:val="false"/>
        <w:bidi w:val="0"/>
        <w:spacing w:lineRule="auto" w:line="240" w:before="0" w:after="0"/>
        <w:ind w:left="0" w:right="0" w:firstLine="720"/>
        <w:jc w:val="both"/>
        <w:rPr>
          <w:rFonts w:cs="Times New Roman"/>
          <w:color w:val="000000"/>
          <w:sz w:val="18"/>
          <w:szCs w:val="18"/>
        </w:rPr>
      </w:pPr>
      <w:r>
        <w:rPr>
          <w:rFonts w:cs="Times New Roman"/>
          <w:color w:val="000000"/>
          <w:sz w:val="18"/>
          <w:szCs w:val="18"/>
        </w:rPr>
        <w:t>10. Вартість послуг з відключення та підключення об'єктів Споживачів розраховується згідно з калькуляціями, розробленими на підставі Методики розрахунку вартості робіт з підключення електроустановок споживачів до електричних мереж ліцензіата  та інших додаткових робіт і послуг, пов’язаних з ліцензованою діяльністю, та погоджені представництвом державного Регулятора.</w:t>
      </w:r>
    </w:p>
    <w:p>
      <w:pPr>
        <w:pStyle w:val="Normal"/>
        <w:autoSpaceDE w:val="false"/>
        <w:bidi w:val="0"/>
        <w:spacing w:lineRule="auto" w:line="240" w:before="0" w:after="0"/>
        <w:ind w:left="0" w:right="0" w:firstLine="720"/>
        <w:jc w:val="both"/>
        <w:rPr/>
      </w:pPr>
      <w:r>
        <w:rPr>
          <w:rFonts w:cs="Times New Roman"/>
          <w:color w:val="000000"/>
          <w:sz w:val="18"/>
          <w:szCs w:val="18"/>
        </w:rPr>
        <w:t xml:space="preserve">11. У разі необхідності </w:t>
      </w:r>
      <w:r>
        <w:rPr>
          <w:rFonts w:cs="Times New Roman"/>
          <w:bCs/>
          <w:color w:val="000000"/>
          <w:sz w:val="18"/>
          <w:szCs w:val="18"/>
        </w:rPr>
        <w:t>припинення постачання електричної енергії Споживачам за ініціативою Оператора системи, останній</w:t>
      </w:r>
      <w:r>
        <w:rPr>
          <w:rFonts w:cs="Times New Roman"/>
          <w:color w:val="000000"/>
          <w:sz w:val="18"/>
          <w:szCs w:val="18"/>
        </w:rPr>
        <w:t xml:space="preserve"> протягом одного робочого дня після надання споживачу попередження про припинення електроживлення повідомляє про це електропостачальника споживача шляхом надіслання повідомлення у вигляді  реєстру за формою Додатку 2.7 до даного Порядку.</w:t>
      </w:r>
    </w:p>
    <w:p>
      <w:pPr>
        <w:pStyle w:val="Normal"/>
        <w:autoSpaceDE w:val="false"/>
        <w:bidi w:val="0"/>
        <w:spacing w:lineRule="auto" w:line="240" w:before="0" w:after="0"/>
        <w:ind w:left="0" w:right="0" w:firstLine="720"/>
        <w:jc w:val="both"/>
        <w:rPr>
          <w:rFonts w:cs="Times New Roman"/>
          <w:b w:val="false"/>
          <w:b w:val="false"/>
          <w:bCs w:val="false"/>
          <w:color w:val="000000"/>
          <w:sz w:val="18"/>
          <w:szCs w:val="18"/>
        </w:rPr>
      </w:pPr>
      <w:r>
        <w:rPr>
          <w:rFonts w:cs="Times New Roman"/>
          <w:b w:val="false"/>
          <w:bCs w:val="false"/>
          <w:color w:val="000000"/>
          <w:sz w:val="18"/>
          <w:szCs w:val="18"/>
        </w:rPr>
        <w:t xml:space="preserve">12. У разі припинення Оператором системи електроживлення споживачу з підстав визначених в п. 7.6 ПРРЕЕ та п. 11.5.17 КСР, оператор системи повідомляє електропостачальника споживача у вигляді повідомлення за формою Додатку 2.8 до даного Порядку та надає постачальнику копію акта про порушення протягом одного робочого дня, що слідує за днем припинення електроживлення. </w:t>
      </w:r>
    </w:p>
    <w:p>
      <w:pPr>
        <w:pStyle w:val="Normal"/>
        <w:autoSpaceDE w:val="false"/>
        <w:bidi w:val="0"/>
        <w:spacing w:lineRule="auto" w:line="240" w:before="0" w:after="0"/>
        <w:ind w:left="0" w:right="0" w:firstLine="720"/>
        <w:jc w:val="both"/>
        <w:rPr>
          <w:rFonts w:cs="Times New Roman"/>
          <w:b/>
          <w:b/>
          <w:bCs/>
          <w:color w:val="000000"/>
          <w:sz w:val="18"/>
          <w:szCs w:val="18"/>
        </w:rPr>
      </w:pPr>
      <w:r>
        <w:rPr>
          <w:rFonts w:cs="Times New Roman"/>
          <w:b/>
          <w:bCs/>
          <w:color w:val="000000"/>
          <w:sz w:val="18"/>
          <w:szCs w:val="18"/>
        </w:rPr>
      </w:r>
    </w:p>
    <w:p>
      <w:pPr>
        <w:pStyle w:val="Normal"/>
        <w:autoSpaceDE w:val="false"/>
        <w:bidi w:val="0"/>
        <w:spacing w:lineRule="auto" w:line="240" w:before="0" w:after="0"/>
        <w:ind w:left="60" w:right="0" w:hanging="0"/>
        <w:jc w:val="left"/>
        <w:rPr>
          <w:rFonts w:cs="Times New Roman"/>
          <w:b/>
          <w:b/>
          <w:bCs/>
          <w:color w:val="000000"/>
          <w:sz w:val="18"/>
          <w:szCs w:val="18"/>
        </w:rPr>
      </w:pPr>
      <w:r>
        <w:rPr>
          <w:rFonts w:cs="Times New Roman"/>
          <w:b/>
          <w:bCs/>
          <w:color w:val="000000"/>
          <w:sz w:val="18"/>
          <w:szCs w:val="18"/>
        </w:rPr>
      </w:r>
    </w:p>
    <w:tbl>
      <w:tblPr>
        <w:tblW w:w="9903" w:type="dxa"/>
        <w:jc w:val="left"/>
        <w:tblInd w:w="333" w:type="dxa"/>
        <w:tblCellMar>
          <w:top w:w="0" w:type="dxa"/>
          <w:left w:w="108" w:type="dxa"/>
          <w:bottom w:w="0" w:type="dxa"/>
          <w:right w:w="108" w:type="dxa"/>
        </w:tblCellMar>
      </w:tblPr>
      <w:tblGrid>
        <w:gridCol w:w="4142"/>
        <w:gridCol w:w="5761"/>
      </w:tblGrid>
      <w:tr>
        <w:trPr/>
        <w:tc>
          <w:tcPr>
            <w:tcW w:w="4142" w:type="dxa"/>
            <w:tcBorders/>
          </w:tcPr>
          <w:p>
            <w:pPr>
              <w:pStyle w:val="NormalUkr"/>
              <w:tabs>
                <w:tab w:val="clear" w:pos="709"/>
                <w:tab w:val="left" w:pos="5103" w:leader="none"/>
                <w:tab w:val="left" w:pos="8789" w:leader="none"/>
              </w:tabs>
              <w:bidi w:val="0"/>
              <w:snapToGrid w:val="false"/>
              <w:jc w:val="left"/>
              <w:rPr>
                <w:rFonts w:cs="Times New Roman"/>
                <w:b w:val="false"/>
                <w:b w:val="false"/>
                <w:bCs w:val="false"/>
                <w:i w:val="false"/>
                <w:i w:val="false"/>
                <w:iCs w:val="false"/>
                <w:sz w:val="18"/>
                <w:szCs w:val="18"/>
                <w:u w:val="none"/>
                <w:lang w:val="uk-UA"/>
              </w:rPr>
            </w:pPr>
            <w:r>
              <w:rPr>
                <w:rFonts w:cs="Times New Roman"/>
                <w:b w:val="false"/>
                <w:bCs w:val="false"/>
                <w:i w:val="false"/>
                <w:iCs w:val="false"/>
                <w:sz w:val="18"/>
                <w:szCs w:val="18"/>
                <w:u w:val="none"/>
                <w:lang w:val="uk-UA"/>
              </w:rPr>
              <w:t>Оператор системи:</w:t>
            </w:r>
          </w:p>
          <w:p>
            <w:pPr>
              <w:pStyle w:val="NormalUkr"/>
              <w:tabs>
                <w:tab w:val="clear" w:pos="709"/>
                <w:tab w:val="left" w:pos="5103" w:leader="none"/>
                <w:tab w:val="left" w:pos="8789" w:leader="none"/>
              </w:tabs>
              <w:bidi w:val="0"/>
              <w:snapToGrid w:val="false"/>
              <w:jc w:val="left"/>
              <w:rPr/>
            </w:pPr>
            <w:r>
              <w:rPr>
                <w:rStyle w:val="Style14"/>
                <w:rFonts w:cs="Times New Roman"/>
                <w:b w:val="false"/>
                <w:bCs w:val="false"/>
                <w:i w:val="false"/>
                <w:iCs w:val="false"/>
                <w:color w:val="000000"/>
                <w:sz w:val="18"/>
                <w:szCs w:val="18"/>
                <w:u w:val="none"/>
                <w:lang w:val="uk-UA"/>
              </w:rPr>
              <w:t>АТ "ХЕРСОНОБЛЕНЕРГО"</w:t>
            </w:r>
          </w:p>
        </w:tc>
        <w:tc>
          <w:tcPr>
            <w:tcW w:w="5761" w:type="dxa"/>
            <w:tcBorders/>
          </w:tcPr>
          <w:p>
            <w:pPr>
              <w:pStyle w:val="NormalUkr"/>
              <w:tabs>
                <w:tab w:val="clear" w:pos="709"/>
                <w:tab w:val="left" w:pos="5103" w:leader="none"/>
                <w:tab w:val="left" w:pos="8789" w:leader="none"/>
              </w:tabs>
              <w:bidi w:val="0"/>
              <w:snapToGrid w:val="false"/>
              <w:jc w:val="left"/>
              <w:rPr>
                <w:rFonts w:cs="Times New Roman"/>
                <w:b w:val="false"/>
                <w:b w:val="false"/>
                <w:bCs w:val="false"/>
                <w:i w:val="false"/>
                <w:i w:val="false"/>
                <w:iCs w:val="false"/>
                <w:color w:val="000000"/>
                <w:spacing w:val="1"/>
                <w:sz w:val="18"/>
                <w:szCs w:val="18"/>
                <w:u w:val="none"/>
                <w:lang w:val="uk-UA"/>
              </w:rPr>
            </w:pPr>
            <w:r>
              <w:rPr>
                <w:rFonts w:cs="Times New Roman"/>
                <w:b w:val="false"/>
                <w:bCs w:val="false"/>
                <w:i w:val="false"/>
                <w:iCs w:val="false"/>
                <w:color w:val="000000"/>
                <w:spacing w:val="1"/>
                <w:sz w:val="18"/>
                <w:szCs w:val="18"/>
                <w:u w:val="none"/>
                <w:lang w:val="uk-UA"/>
              </w:rPr>
              <w:t xml:space="preserve">Постачальник: </w:t>
            </w:r>
          </w:p>
          <w:p>
            <w:pPr>
              <w:pStyle w:val="NormalUkr"/>
              <w:tabs>
                <w:tab w:val="clear" w:pos="709"/>
                <w:tab w:val="left" w:pos="5103" w:leader="none"/>
                <w:tab w:val="left" w:pos="8789" w:leader="none"/>
              </w:tabs>
              <w:bidi w:val="0"/>
              <w:snapToGrid w:val="false"/>
              <w:jc w:val="left"/>
              <w:rPr>
                <w:rFonts w:cs="Times New Roman"/>
                <w:b w:val="false"/>
                <w:b w:val="false"/>
                <w:bCs w:val="false"/>
                <w:i w:val="false"/>
                <w:i w:val="false"/>
                <w:iCs w:val="false"/>
                <w:color w:val="000000"/>
                <w:spacing w:val="1"/>
                <w:sz w:val="18"/>
                <w:szCs w:val="18"/>
                <w:u w:val="none"/>
                <w:lang w:val="uk-UA"/>
              </w:rPr>
            </w:pPr>
            <w:r>
              <w:rPr>
                <w:rFonts w:cs="Times New Roman"/>
                <w:b w:val="false"/>
                <w:bCs w:val="false"/>
                <w:i w:val="false"/>
                <w:iCs w:val="false"/>
                <w:color w:val="000000"/>
                <w:spacing w:val="1"/>
                <w:sz w:val="18"/>
                <w:szCs w:val="18"/>
                <w:u w:val="none"/>
                <w:lang w:val="uk-UA"/>
              </w:rPr>
            </w:r>
          </w:p>
        </w:tc>
      </w:tr>
      <w:tr>
        <w:trPr>
          <w:trHeight w:val="1886" w:hRule="atLeast"/>
        </w:trPr>
        <w:tc>
          <w:tcPr>
            <w:tcW w:w="4142" w:type="dxa"/>
            <w:tcBorders/>
          </w:tcPr>
          <w:p>
            <w:pPr>
              <w:pStyle w:val="NormalUkr"/>
              <w:tabs>
                <w:tab w:val="clear" w:pos="709"/>
                <w:tab w:val="left" w:pos="5103" w:leader="none"/>
                <w:tab w:val="left" w:pos="8789" w:leader="none"/>
              </w:tabs>
              <w:bidi w:val="0"/>
              <w:snapToGrid w:val="false"/>
              <w:jc w:val="left"/>
              <w:rPr>
                <w:rFonts w:cs="Times New Roman"/>
                <w:b w:val="false"/>
                <w:b w:val="false"/>
                <w:bCs w:val="false"/>
                <w:i w:val="false"/>
                <w:i w:val="false"/>
                <w:iCs w:val="false"/>
                <w:color w:val="000000"/>
                <w:spacing w:val="1"/>
                <w:sz w:val="18"/>
                <w:szCs w:val="18"/>
                <w:u w:val="none"/>
                <w:lang w:val="uk-UA"/>
              </w:rPr>
            </w:pPr>
            <w:r>
              <w:rPr>
                <w:rFonts w:cs="Times New Roman"/>
                <w:b w:val="false"/>
                <w:bCs w:val="false"/>
                <w:i w:val="false"/>
                <w:iCs w:val="false"/>
                <w:color w:val="000000"/>
                <w:spacing w:val="1"/>
                <w:sz w:val="18"/>
                <w:szCs w:val="18"/>
                <w:u w:val="none"/>
                <w:lang w:val="uk-UA"/>
              </w:rPr>
            </w:r>
          </w:p>
          <w:p>
            <w:pPr>
              <w:pStyle w:val="NormalUkr"/>
              <w:tabs>
                <w:tab w:val="clear" w:pos="709"/>
                <w:tab w:val="left" w:pos="5103" w:leader="none"/>
                <w:tab w:val="left" w:pos="8789" w:leader="none"/>
              </w:tabs>
              <w:bidi w:val="0"/>
              <w:jc w:val="left"/>
              <w:rPr>
                <w:rFonts w:cs="Times New Roman"/>
                <w:b w:val="false"/>
                <w:b w:val="false"/>
                <w:bCs w:val="false"/>
                <w:sz w:val="18"/>
                <w:szCs w:val="18"/>
                <w:u w:val="none"/>
                <w:lang w:val="uk-UA"/>
              </w:rPr>
            </w:pPr>
            <w:r>
              <w:rPr>
                <w:rFonts w:cs="Times New Roman"/>
                <w:b w:val="false"/>
                <w:bCs w:val="false"/>
                <w:sz w:val="18"/>
                <w:szCs w:val="18"/>
                <w:u w:val="none"/>
                <w:lang w:val="uk-UA"/>
              </w:rPr>
            </w:r>
          </w:p>
        </w:tc>
        <w:tc>
          <w:tcPr>
            <w:tcW w:w="5761" w:type="dxa"/>
            <w:tcBorders/>
          </w:tcPr>
          <w:p>
            <w:pPr>
              <w:pStyle w:val="Normal"/>
              <w:tabs>
                <w:tab w:val="clear" w:pos="709"/>
                <w:tab w:val="left" w:pos="5103" w:leader="none"/>
                <w:tab w:val="left" w:pos="8789" w:leader="none"/>
              </w:tabs>
              <w:bidi w:val="0"/>
              <w:snapToGrid w:val="false"/>
              <w:jc w:val="left"/>
              <w:rPr>
                <w:rFonts w:cs="Times New Roman"/>
                <w:sz w:val="18"/>
                <w:szCs w:val="18"/>
              </w:rPr>
            </w:pPr>
            <w:r>
              <w:rPr>
                <w:rFonts w:cs="Times New Roman"/>
                <w:sz w:val="18"/>
                <w:szCs w:val="18"/>
              </w:rPr>
            </w:r>
          </w:p>
          <w:p>
            <w:pPr>
              <w:pStyle w:val="Normal"/>
              <w:tabs>
                <w:tab w:val="clear" w:pos="709"/>
                <w:tab w:val="left" w:pos="5103" w:leader="none"/>
                <w:tab w:val="left" w:pos="8789" w:leader="none"/>
              </w:tabs>
              <w:bidi w:val="0"/>
              <w:snapToGrid w:val="false"/>
              <w:jc w:val="left"/>
              <w:rPr>
                <w:rFonts w:cs="Times New Roman"/>
                <w:sz w:val="18"/>
                <w:szCs w:val="18"/>
              </w:rPr>
            </w:pPr>
            <w:r>
              <w:rPr>
                <w:rFonts w:cs="Times New Roman"/>
                <w:sz w:val="18"/>
                <w:szCs w:val="18"/>
              </w:rPr>
            </w:r>
          </w:p>
          <w:p>
            <w:pPr>
              <w:pStyle w:val="Normal"/>
              <w:tabs>
                <w:tab w:val="clear" w:pos="709"/>
                <w:tab w:val="left" w:pos="5103" w:leader="none"/>
                <w:tab w:val="left" w:pos="8789" w:leader="none"/>
              </w:tabs>
              <w:bidi w:val="0"/>
              <w:snapToGrid w:val="false"/>
              <w:jc w:val="left"/>
              <w:rPr>
                <w:rFonts w:cs="Times New Roman"/>
                <w:sz w:val="18"/>
                <w:szCs w:val="18"/>
              </w:rPr>
            </w:pPr>
            <w:r>
              <w:rPr>
                <w:rFonts w:cs="Times New Roman"/>
                <w:sz w:val="18"/>
                <w:szCs w:val="18"/>
              </w:rPr>
            </w:r>
          </w:p>
          <w:p>
            <w:pPr>
              <w:pStyle w:val="Normal"/>
              <w:tabs>
                <w:tab w:val="clear" w:pos="709"/>
                <w:tab w:val="left" w:pos="5103" w:leader="none"/>
                <w:tab w:val="left" w:pos="8789" w:leader="none"/>
              </w:tabs>
              <w:bidi w:val="0"/>
              <w:snapToGrid w:val="false"/>
              <w:jc w:val="left"/>
              <w:rPr>
                <w:rStyle w:val="Style14"/>
                <w:rFonts w:eastAsia="Times New Roman" w:cs="Times New Roman"/>
                <w:b w:val="false"/>
                <w:b w:val="false"/>
                <w:bCs w:val="false"/>
                <w:i w:val="false"/>
                <w:i w:val="false"/>
                <w:iCs w:val="false"/>
                <w:color w:val="000000"/>
                <w:spacing w:val="1"/>
                <w:sz w:val="18"/>
                <w:szCs w:val="18"/>
                <w:u w:val="none"/>
                <w:lang w:val="en-US" w:eastAsia="zh-CN" w:bidi="hi-IN"/>
              </w:rPr>
            </w:pPr>
            <w:r>
              <w:rPr/>
            </w:r>
          </w:p>
        </w:tc>
      </w:tr>
    </w:tbl>
    <w:p>
      <w:pPr>
        <w:pStyle w:val="Normal"/>
        <w:autoSpaceDE w:val="false"/>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uk-UA"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uk-UA" w:eastAsia="zh-CN" w:bidi="hi-I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NormalUkr">
    <w:name w:val="NormalUkr"/>
    <w:basedOn w:val="Normal"/>
    <w:qFormat/>
    <w:pPr/>
    <w:rPr>
      <w:lang w:val="en-US"/>
    </w:rPr>
  </w:style>
  <w:style w:type="paragraph" w:styleId="Style20">
    <w:name w:val="Обычный"/>
    <w:qFormat/>
    <w:pPr>
      <w:keepNext w:val="false"/>
      <w:keepLines w:val="false"/>
      <w:pageBreakBefore w:val="false"/>
      <w:widowControl w:val="false"/>
      <w:pBd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Mangal"/>
      <w:b w:val="false"/>
      <w:bCs w:val="false"/>
      <w:i w:val="false"/>
      <w:iCs w:val="false"/>
      <w:caps w:val="false"/>
      <w:smallCaps w:val="false"/>
      <w:strike w:val="false"/>
      <w:dstrike w:val="false"/>
      <w:outline w:val="false"/>
      <w:shadow w:val="false"/>
      <w:color w:val="000000"/>
      <w:spacing w:val="0"/>
      <w:w w:val="100"/>
      <w:kern w:val="2"/>
      <w:position w:val="0"/>
      <w:sz w:val="24"/>
      <w:sz w:val="24"/>
      <w:szCs w:val="24"/>
      <w:u w:val="none"/>
      <w:vertAlign w:val="baseline"/>
      <w:em w:val="none"/>
      <w:lang w:val="uk-UA" w:eastAsia="zh-CN" w:bidi="hi-IN"/>
    </w:rPr>
  </w:style>
  <w:style w:type="paragraph" w:styleId="Rvps2">
    <w:name w:val="rvps2"/>
    <w:basedOn w:val="Style20"/>
    <w:qFormat/>
    <w:pPr>
      <w:widowControl/>
      <w:suppressAutoHyphens w:val="false"/>
      <w:spacing w:before="100" w:after="100"/>
      <w:textAlignment w:val="auto"/>
    </w:pPr>
    <w:rPr>
      <w:rFonts w:eastAsia="Times New Roman" w:cs="Times New Roman"/>
      <w:kern w:val="2"/>
      <w:lang w:val="ru-RU" w:eastAsia="ru-RU" w:bidi="ar-SA"/>
    </w:rPr>
  </w:style>
  <w:style w:type="paragraph" w:styleId="Style21">
    <w:name w:val="Вміст таблиці"/>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2</Pages>
  <Words>1180</Words>
  <Characters>8420</Characters>
  <CharactersWithSpaces>9637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2020-11-09T09:51:38Z</dcterms:created>
  <dc:creator/>
  <dc:description/>
  <dc:language>uk-UA</dc:language>
  <cp:lastModifiedBy/>
  <dcterms:modified xsi:type="dcterms:W3CDTF">2020-11-09T09:53:18Z</dcterms:modified>
  <cp:revision>1</cp:revision>
  <dc:subject/>
  <dc:title/>
</cp:coreProperties>
</file>