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5" w:rsidRPr="009A2295" w:rsidRDefault="009A2295" w:rsidP="009A2295">
      <w:pPr>
        <w:pStyle w:val="Default"/>
        <w:rPr>
          <w:sz w:val="28"/>
          <w:szCs w:val="2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D776FF" w:rsidTr="00D776F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031" w:type="dxa"/>
          </w:tcPr>
          <w:p w:rsidR="00D776FF" w:rsidRDefault="009A2295" w:rsidP="00D776FF">
            <w:pPr>
              <w:pStyle w:val="Default"/>
              <w:jc w:val="center"/>
              <w:rPr>
                <w:sz w:val="18"/>
                <w:szCs w:val="18"/>
              </w:rPr>
            </w:pPr>
            <w:r w:rsidRPr="009A2295">
              <w:rPr>
                <w:b/>
                <w:bCs/>
                <w:sz w:val="28"/>
                <w:szCs w:val="28"/>
              </w:rPr>
              <w:t xml:space="preserve">ОБГРУНТУВАННЯ </w:t>
            </w:r>
            <w:r w:rsidR="00D24448">
              <w:rPr>
                <w:b/>
                <w:bCs/>
                <w:sz w:val="28"/>
                <w:szCs w:val="28"/>
                <w:lang w:val="uk-UA"/>
              </w:rPr>
              <w:t xml:space="preserve">ЩОДО УТОЧНЕННЯ </w:t>
            </w:r>
            <w:r w:rsidRPr="009A2295">
              <w:rPr>
                <w:b/>
                <w:bCs/>
                <w:sz w:val="28"/>
                <w:szCs w:val="28"/>
              </w:rPr>
              <w:t xml:space="preserve">ТАРИФІВ НА </w:t>
            </w:r>
            <w:r w:rsidR="00D24448">
              <w:rPr>
                <w:b/>
                <w:bCs/>
                <w:sz w:val="28"/>
                <w:szCs w:val="28"/>
                <w:lang w:val="uk-UA"/>
              </w:rPr>
              <w:t xml:space="preserve">ПОСЛУГИ </w:t>
            </w:r>
            <w:proofErr w:type="gramStart"/>
            <w:r w:rsidR="00D24448">
              <w:rPr>
                <w:b/>
                <w:bCs/>
                <w:sz w:val="28"/>
                <w:szCs w:val="28"/>
                <w:lang w:val="uk-UA"/>
              </w:rPr>
              <w:t>З</w:t>
            </w:r>
            <w:proofErr w:type="gramEnd"/>
            <w:r w:rsidR="00D2444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A2295">
              <w:rPr>
                <w:b/>
                <w:bCs/>
                <w:sz w:val="28"/>
                <w:szCs w:val="28"/>
              </w:rPr>
              <w:t>РОЗПОДІЛ</w:t>
            </w:r>
            <w:r w:rsidR="00D24448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9A2295">
              <w:rPr>
                <w:b/>
                <w:bCs/>
                <w:sz w:val="28"/>
                <w:szCs w:val="28"/>
              </w:rPr>
              <w:t xml:space="preserve"> ЕЛЕКТРИЧНОЇ ЕНЕРГІЇ </w:t>
            </w:r>
            <w:r w:rsidR="00D776FF">
              <w:rPr>
                <w:b/>
                <w:bCs/>
                <w:sz w:val="28"/>
                <w:szCs w:val="28"/>
                <w:lang w:val="uk-UA"/>
              </w:rPr>
              <w:t>ІЗ ЗАСТОСУВАННЯМ СТИМУЛЮЮЧОГО РЕГУЛЮВАННЯ</w:t>
            </w:r>
          </w:p>
        </w:tc>
      </w:tr>
    </w:tbl>
    <w:p w:rsidR="009A2295" w:rsidRPr="009A2295" w:rsidRDefault="00F011AE" w:rsidP="00D776FF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АТ </w:t>
      </w:r>
      <w:r>
        <w:rPr>
          <w:b/>
          <w:bCs/>
          <w:sz w:val="28"/>
          <w:szCs w:val="28"/>
          <w:lang w:val="uk-UA"/>
        </w:rPr>
        <w:t>«ХЕРСОНОБЛЕНЕРГО»</w:t>
      </w:r>
      <w:r w:rsidR="009A2295" w:rsidRPr="009A2295">
        <w:rPr>
          <w:b/>
          <w:bCs/>
          <w:sz w:val="28"/>
          <w:szCs w:val="28"/>
        </w:rPr>
        <w:t xml:space="preserve"> </w:t>
      </w:r>
      <w:r w:rsidR="00D24448">
        <w:rPr>
          <w:b/>
          <w:bCs/>
          <w:sz w:val="28"/>
          <w:szCs w:val="28"/>
          <w:lang w:val="uk-UA"/>
        </w:rPr>
        <w:t xml:space="preserve">В 2021 РОЦІ </w:t>
      </w:r>
      <w:proofErr w:type="gramStart"/>
      <w:r w:rsidR="00D24448">
        <w:rPr>
          <w:b/>
          <w:bCs/>
          <w:sz w:val="28"/>
          <w:szCs w:val="28"/>
          <w:lang w:val="uk-UA"/>
        </w:rPr>
        <w:t>З</w:t>
      </w:r>
      <w:proofErr w:type="gramEnd"/>
      <w:r w:rsidR="00D24448">
        <w:rPr>
          <w:b/>
          <w:bCs/>
          <w:sz w:val="28"/>
          <w:szCs w:val="28"/>
          <w:lang w:val="uk-UA"/>
        </w:rPr>
        <w:t xml:space="preserve"> 01.11.2021 РОКУ</w:t>
      </w:r>
    </w:p>
    <w:p w:rsidR="00F011AE" w:rsidRDefault="009B596E" w:rsidP="009B59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31B98" w:rsidRPr="007E56F7" w:rsidRDefault="00E31B98" w:rsidP="009B596E">
      <w:pPr>
        <w:pStyle w:val="Default"/>
        <w:jc w:val="both"/>
        <w:rPr>
          <w:b/>
          <w:sz w:val="28"/>
          <w:szCs w:val="28"/>
          <w:lang w:val="uk-UA"/>
        </w:rPr>
      </w:pPr>
    </w:p>
    <w:p w:rsidR="00D24448" w:rsidRDefault="00D24448" w:rsidP="00D2444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</w:t>
      </w:r>
      <w:r w:rsidRPr="00D24448">
        <w:rPr>
          <w:sz w:val="28"/>
          <w:szCs w:val="28"/>
          <w:lang w:val="uk-UA"/>
        </w:rPr>
        <w:t>АТ«ХЕРСОНОБЛЕНЕРГО» тариф</w:t>
      </w:r>
      <w:r>
        <w:rPr>
          <w:sz w:val="28"/>
          <w:szCs w:val="28"/>
          <w:lang w:val="uk-UA"/>
        </w:rPr>
        <w:t>и</w:t>
      </w:r>
      <w:r w:rsidRPr="00D24448">
        <w:rPr>
          <w:sz w:val="28"/>
          <w:szCs w:val="28"/>
          <w:lang w:val="uk-UA"/>
        </w:rPr>
        <w:t xml:space="preserve"> на послуги з розподілу електричної енергії</w:t>
      </w:r>
      <w:r w:rsidR="00927182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</w:t>
      </w:r>
      <w:r w:rsidRPr="00D24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</w:t>
      </w:r>
      <w:r w:rsidRPr="00D24448">
        <w:rPr>
          <w:sz w:val="28"/>
          <w:szCs w:val="28"/>
          <w:lang w:val="uk-UA"/>
        </w:rPr>
        <w:t>останови НКРЕКП від 09.12.2020 року № 2380 (у редакції Постанови від 06.08.2021 року за № 1254)</w:t>
      </w:r>
      <w:r>
        <w:rPr>
          <w:sz w:val="28"/>
          <w:szCs w:val="28"/>
          <w:lang w:val="uk-UA"/>
        </w:rPr>
        <w:t xml:space="preserve"> на рівні: </w:t>
      </w:r>
      <w:r w:rsidR="00156131" w:rsidRPr="00D24448">
        <w:rPr>
          <w:sz w:val="28"/>
          <w:szCs w:val="28"/>
          <w:lang w:val="uk-UA"/>
        </w:rPr>
        <w:t xml:space="preserve">    </w:t>
      </w:r>
    </w:p>
    <w:p w:rsidR="009D0C28" w:rsidRDefault="009D0C28" w:rsidP="00D24448">
      <w:pPr>
        <w:pStyle w:val="Default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11"/>
        <w:gridCol w:w="1843"/>
        <w:gridCol w:w="2908"/>
      </w:tblGrid>
      <w:tr w:rsidR="009D0C28" w:rsidTr="0092467B">
        <w:trPr>
          <w:trHeight w:val="958"/>
          <w:jc w:val="center"/>
        </w:trPr>
        <w:tc>
          <w:tcPr>
            <w:tcW w:w="5211" w:type="dxa"/>
          </w:tcPr>
          <w:p w:rsidR="009D0C28" w:rsidRPr="009D0C28" w:rsidRDefault="009D0C28" w:rsidP="0092467B">
            <w:pPr>
              <w:jc w:val="center"/>
              <w:rPr>
                <w:bCs/>
                <w:sz w:val="28"/>
                <w:szCs w:val="28"/>
              </w:rPr>
            </w:pPr>
            <w:r w:rsidRPr="009D0C28">
              <w:rPr>
                <w:bCs/>
                <w:sz w:val="28"/>
                <w:szCs w:val="28"/>
              </w:rPr>
              <w:t xml:space="preserve">Тариф на </w:t>
            </w:r>
            <w:proofErr w:type="spellStart"/>
            <w:r w:rsidRPr="009D0C28">
              <w:rPr>
                <w:bCs/>
                <w:sz w:val="28"/>
                <w:szCs w:val="28"/>
              </w:rPr>
              <w:t>розподіл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електричної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енергії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9D0C28">
              <w:rPr>
                <w:bCs/>
                <w:sz w:val="28"/>
                <w:szCs w:val="28"/>
              </w:rPr>
              <w:t>споживачів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1 </w:t>
            </w:r>
            <w:proofErr w:type="spellStart"/>
            <w:r w:rsidRPr="009D0C28">
              <w:rPr>
                <w:bCs/>
                <w:sz w:val="28"/>
                <w:szCs w:val="28"/>
              </w:rPr>
              <w:t>класу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напруги</w:t>
            </w:r>
            <w:proofErr w:type="spellEnd"/>
          </w:p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МВт·год</w:t>
            </w:r>
            <w:proofErr w:type="spellEnd"/>
          </w:p>
        </w:tc>
        <w:tc>
          <w:tcPr>
            <w:tcW w:w="2908" w:type="dxa"/>
          </w:tcPr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316,82</w:t>
            </w:r>
          </w:p>
        </w:tc>
      </w:tr>
      <w:tr w:rsidR="009D0C28" w:rsidTr="0092467B">
        <w:trPr>
          <w:jc w:val="center"/>
        </w:trPr>
        <w:tc>
          <w:tcPr>
            <w:tcW w:w="5211" w:type="dxa"/>
          </w:tcPr>
          <w:p w:rsidR="009D0C28" w:rsidRPr="009D0C28" w:rsidRDefault="009D0C28" w:rsidP="0092467B">
            <w:pPr>
              <w:jc w:val="center"/>
              <w:rPr>
                <w:bCs/>
                <w:sz w:val="28"/>
                <w:szCs w:val="28"/>
              </w:rPr>
            </w:pPr>
            <w:r w:rsidRPr="009D0C28">
              <w:rPr>
                <w:bCs/>
                <w:sz w:val="28"/>
                <w:szCs w:val="28"/>
              </w:rPr>
              <w:t xml:space="preserve">Тариф на </w:t>
            </w:r>
            <w:proofErr w:type="spellStart"/>
            <w:r w:rsidRPr="009D0C28">
              <w:rPr>
                <w:bCs/>
                <w:sz w:val="28"/>
                <w:szCs w:val="28"/>
              </w:rPr>
              <w:t>розподіл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електричної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енергії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9D0C28">
              <w:rPr>
                <w:bCs/>
                <w:sz w:val="28"/>
                <w:szCs w:val="28"/>
              </w:rPr>
              <w:t>споживачів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r w:rsidRPr="009D0C28">
              <w:rPr>
                <w:bCs/>
                <w:sz w:val="28"/>
                <w:szCs w:val="28"/>
                <w:lang w:val="uk-UA"/>
              </w:rPr>
              <w:t>2</w:t>
            </w:r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класу</w:t>
            </w:r>
            <w:proofErr w:type="spellEnd"/>
            <w:r w:rsidRPr="009D0C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0C28">
              <w:rPr>
                <w:bCs/>
                <w:sz w:val="28"/>
                <w:szCs w:val="28"/>
              </w:rPr>
              <w:t>напруги</w:t>
            </w:r>
            <w:proofErr w:type="spellEnd"/>
          </w:p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МВт·год</w:t>
            </w:r>
            <w:proofErr w:type="spellEnd"/>
          </w:p>
        </w:tc>
        <w:tc>
          <w:tcPr>
            <w:tcW w:w="2908" w:type="dxa"/>
          </w:tcPr>
          <w:p w:rsidR="009D0C28" w:rsidRPr="009D0C28" w:rsidRDefault="009D0C28" w:rsidP="0092467B">
            <w:pPr>
              <w:spacing w:before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1 096,41</w:t>
            </w:r>
          </w:p>
        </w:tc>
      </w:tr>
    </w:tbl>
    <w:p w:rsidR="009D0C28" w:rsidRPr="00D24448" w:rsidRDefault="009D0C28" w:rsidP="00D24448">
      <w:pPr>
        <w:pStyle w:val="Default"/>
        <w:jc w:val="both"/>
        <w:rPr>
          <w:sz w:val="28"/>
          <w:szCs w:val="28"/>
          <w:lang w:val="uk-UA"/>
        </w:rPr>
      </w:pPr>
    </w:p>
    <w:p w:rsidR="00D24448" w:rsidRPr="006F0FE0" w:rsidRDefault="00D24448" w:rsidP="006F0FE0">
      <w:pPr>
        <w:pStyle w:val="a6"/>
        <w:shd w:val="clear" w:color="auto" w:fill="FFFFFF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Постановою Кабінету Міністрів України від 11.08.2021 за  № 859 «</w:t>
      </w:r>
      <w:r w:rsidRPr="009B4BC6">
        <w:rPr>
          <w:sz w:val="28"/>
          <w:szCs w:val="28"/>
          <w:lang w:val="uk-UA"/>
        </w:rPr>
        <w:t xml:space="preserve">Про внесення змін до постанови Кабінету Міністрів України від 5 червня 2019 р. № 483 та визнання такими, що </w:t>
      </w:r>
      <w:r w:rsidRPr="007658B6">
        <w:rPr>
          <w:sz w:val="28"/>
          <w:szCs w:val="28"/>
          <w:lang w:val="uk-UA"/>
        </w:rPr>
        <w:t xml:space="preserve">втратили чинність, деяких постанов Кабінету Міністрів України» було внесено зміни, зокрема, до Положення про покладення спеціальних обов’язків на учасників ринку електричної енергії для забезпечення загальносуспільних інтересів у процесі функціонування ринку електричної енергії(далі – Положення), яке з 01.10.2021 року покладає на операторів системи розподілу спеціальні обов’язки </w:t>
      </w:r>
      <w:r w:rsidRPr="006F0FE0">
        <w:rPr>
          <w:b/>
          <w:sz w:val="28"/>
          <w:szCs w:val="28"/>
          <w:lang w:val="uk-UA"/>
        </w:rPr>
        <w:t>в частині обов’язкового придбання технологічних витрат електричної енергії в порядку та на умовах, визначених цим Положенням.</w:t>
      </w:r>
    </w:p>
    <w:p w:rsidR="00D24448" w:rsidRPr="005B413E" w:rsidRDefault="00D24448" w:rsidP="00D24448">
      <w:pPr>
        <w:pStyle w:val="a6"/>
        <w:shd w:val="clear" w:color="auto" w:fill="FFFFFF"/>
        <w:spacing w:before="160" w:after="15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п </w:t>
      </w:r>
      <w:r w:rsidRPr="005B413E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Зазначеного Положення</w:t>
      </w:r>
      <w:r w:rsidRPr="005B4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5B413E">
        <w:rPr>
          <w:sz w:val="28"/>
          <w:szCs w:val="28"/>
          <w:lang w:val="uk-UA"/>
        </w:rPr>
        <w:t xml:space="preserve">о спеціальних обов’язків </w:t>
      </w:r>
      <w:r>
        <w:rPr>
          <w:sz w:val="28"/>
          <w:szCs w:val="28"/>
          <w:lang w:val="uk-UA"/>
        </w:rPr>
        <w:t xml:space="preserve">оператора системи розподілу </w:t>
      </w:r>
      <w:r w:rsidRPr="005B413E">
        <w:rPr>
          <w:sz w:val="28"/>
          <w:szCs w:val="28"/>
          <w:lang w:val="uk-UA"/>
        </w:rPr>
        <w:t>належить:</w:t>
      </w:r>
    </w:p>
    <w:p w:rsidR="00D24448" w:rsidRDefault="00D24448" w:rsidP="00D24448">
      <w:pPr>
        <w:pStyle w:val="a6"/>
        <w:shd w:val="clear" w:color="auto" w:fill="FFFFFF"/>
        <w:spacing w:before="160" w:after="150"/>
        <w:ind w:firstLine="708"/>
        <w:jc w:val="both"/>
        <w:rPr>
          <w:sz w:val="28"/>
          <w:szCs w:val="28"/>
          <w:lang w:val="uk-UA"/>
        </w:rPr>
      </w:pPr>
      <w:r w:rsidRPr="005B413E">
        <w:rPr>
          <w:sz w:val="28"/>
          <w:szCs w:val="28"/>
          <w:lang w:val="uk-UA"/>
        </w:rPr>
        <w:t xml:space="preserve">придбання операторами системи розподілу за результатами проведення електронних аукціонів у державного підприємства “НАЕК </w:t>
      </w:r>
      <w:proofErr w:type="spellStart"/>
      <w:r w:rsidRPr="005B413E">
        <w:rPr>
          <w:sz w:val="28"/>
          <w:szCs w:val="28"/>
          <w:lang w:val="uk-UA"/>
        </w:rPr>
        <w:t>“Енергоатом”</w:t>
      </w:r>
      <w:proofErr w:type="spellEnd"/>
      <w:r w:rsidRPr="005B413E">
        <w:rPr>
          <w:sz w:val="28"/>
          <w:szCs w:val="28"/>
          <w:lang w:val="uk-UA"/>
        </w:rPr>
        <w:t xml:space="preserve"> стандартних продуктів BASE_Q або BASE_Y для компенсації власних технологічних витрат електричної енергії таких операторів системи розподілу в торговій зоні </w:t>
      </w:r>
      <w:proofErr w:type="spellStart"/>
      <w:r w:rsidRPr="005B413E">
        <w:rPr>
          <w:sz w:val="28"/>
          <w:szCs w:val="28"/>
          <w:lang w:val="uk-UA"/>
        </w:rPr>
        <w:t>“об’єднаної</w:t>
      </w:r>
      <w:proofErr w:type="spellEnd"/>
      <w:r w:rsidRPr="005B413E">
        <w:rPr>
          <w:sz w:val="28"/>
          <w:szCs w:val="28"/>
          <w:lang w:val="uk-UA"/>
        </w:rPr>
        <w:t xml:space="preserve"> енергосистеми </w:t>
      </w:r>
      <w:proofErr w:type="spellStart"/>
      <w:r w:rsidRPr="005B413E">
        <w:rPr>
          <w:sz w:val="28"/>
          <w:szCs w:val="28"/>
          <w:lang w:val="uk-UA"/>
        </w:rPr>
        <w:t>України”</w:t>
      </w:r>
      <w:proofErr w:type="spellEnd"/>
      <w:r w:rsidRPr="005B413E">
        <w:rPr>
          <w:sz w:val="28"/>
          <w:szCs w:val="28"/>
          <w:lang w:val="uk-UA"/>
        </w:rPr>
        <w:t xml:space="preserve"> в обсязі мінімальної величини технологічних витрат електричної енергії на її розподіл електричними мережами за годину в аналогічному місяці попереднього року з урахуванням показника ефективності технологічних витрат електричної енергії, визначеного рішеннями НКРЕКП, </w:t>
      </w:r>
      <w:r w:rsidRPr="006F0FE0">
        <w:rPr>
          <w:b/>
          <w:sz w:val="28"/>
          <w:szCs w:val="28"/>
          <w:lang w:val="uk-UA"/>
        </w:rPr>
        <w:t xml:space="preserve">за ціною 1 700 гривень за </w:t>
      </w:r>
      <w:proofErr w:type="spellStart"/>
      <w:r w:rsidRPr="006F0FE0">
        <w:rPr>
          <w:b/>
          <w:sz w:val="28"/>
          <w:szCs w:val="28"/>
          <w:lang w:val="uk-UA"/>
        </w:rPr>
        <w:t>МВт•год</w:t>
      </w:r>
      <w:proofErr w:type="spellEnd"/>
      <w:r w:rsidRPr="005B413E">
        <w:rPr>
          <w:sz w:val="28"/>
          <w:szCs w:val="28"/>
          <w:lang w:val="uk-UA"/>
        </w:rPr>
        <w:t xml:space="preserve">. Зазначена ціна підлягає </w:t>
      </w:r>
      <w:r w:rsidRPr="005B413E">
        <w:rPr>
          <w:sz w:val="28"/>
          <w:szCs w:val="28"/>
          <w:lang w:val="uk-UA"/>
        </w:rPr>
        <w:lastRenderedPageBreak/>
        <w:t>індексації на індекс цін виробників промислової продукції в кварталі, наступному за кварталом набрання чинності цим По</w:t>
      </w:r>
      <w:r>
        <w:rPr>
          <w:sz w:val="28"/>
          <w:szCs w:val="28"/>
          <w:lang w:val="uk-UA"/>
        </w:rPr>
        <w:t>ложенням.</w:t>
      </w:r>
    </w:p>
    <w:p w:rsidR="00D24448" w:rsidRDefault="00D24448" w:rsidP="00D24448">
      <w:pPr>
        <w:pStyle w:val="a6"/>
        <w:shd w:val="clear" w:color="auto" w:fill="FFFFFF"/>
        <w:spacing w:before="160" w:after="15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Положеннями п.16 </w:t>
      </w:r>
      <w:r w:rsidRPr="005B413E">
        <w:rPr>
          <w:sz w:val="28"/>
          <w:szCs w:val="28"/>
          <w:lang w:val="uk-UA"/>
        </w:rPr>
        <w:t>постанови КМУ від 11 серпня 2021 № 859</w:t>
      </w:r>
      <w:r>
        <w:rPr>
          <w:sz w:val="28"/>
          <w:szCs w:val="28"/>
          <w:lang w:val="uk-UA"/>
        </w:rPr>
        <w:t xml:space="preserve"> визначено:</w:t>
      </w:r>
    </w:p>
    <w:p w:rsidR="00D24448" w:rsidRPr="005B413E" w:rsidRDefault="00D24448" w:rsidP="00D24448">
      <w:pPr>
        <w:pStyle w:val="a6"/>
        <w:shd w:val="clear" w:color="auto" w:fill="FFFFFF"/>
        <w:spacing w:before="160" w:after="150"/>
        <w:ind w:firstLine="708"/>
        <w:jc w:val="both"/>
        <w:rPr>
          <w:sz w:val="28"/>
          <w:szCs w:val="28"/>
          <w:lang w:val="uk-UA"/>
        </w:rPr>
      </w:pPr>
      <w:r w:rsidRPr="005B413E">
        <w:rPr>
          <w:sz w:val="28"/>
          <w:szCs w:val="28"/>
          <w:lang w:val="uk-UA"/>
        </w:rPr>
        <w:t xml:space="preserve">Виконання спеціальних обов’язків, передбачених цим Положенням, повинне забезпечувати покриття економічно обґрунтованих витрат учасника ринку на їх виконання. Джерелами фінансування витрат оператора системи розподілу за виконання спеціальних обов’язків є тарифи на послуги з розподілу електричної енергії відповідного оператора системи розподілу. У разі понесення витрат на виконання передбачених цим Положенням спеціальних обов’язків </w:t>
      </w:r>
      <w:r w:rsidRPr="006F0FE0">
        <w:rPr>
          <w:b/>
          <w:sz w:val="28"/>
          <w:szCs w:val="28"/>
          <w:lang w:val="uk-UA"/>
        </w:rPr>
        <w:t>оператор системи розподілу має право клопотати про перегляд зазначених тарифів у порядку, визначеному НКРЕКП</w:t>
      </w:r>
      <w:r w:rsidRPr="005B413E">
        <w:rPr>
          <w:sz w:val="28"/>
          <w:szCs w:val="28"/>
          <w:lang w:val="uk-UA"/>
        </w:rPr>
        <w:t>, або про здійснення інших заходів, передбачених відповідними нормативно-правовими актами, затвердженими НКРЕКП, з метою покриття своїх економічно обґрунтованих витрат.»</w:t>
      </w:r>
    </w:p>
    <w:p w:rsidR="00D24448" w:rsidRDefault="006F0FE0" w:rsidP="00D2444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 затверджених</w:t>
      </w:r>
      <w:r w:rsidR="00D24448" w:rsidRPr="005B413E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ах</w:t>
      </w:r>
      <w:r w:rsidR="00D24448" w:rsidRPr="005B413E">
        <w:rPr>
          <w:sz w:val="28"/>
          <w:szCs w:val="28"/>
          <w:lang w:val="uk-UA"/>
        </w:rPr>
        <w:t xml:space="preserve"> </w:t>
      </w:r>
      <w:r w:rsidR="00D24448">
        <w:rPr>
          <w:sz w:val="28"/>
          <w:szCs w:val="28"/>
          <w:lang w:val="uk-UA"/>
        </w:rPr>
        <w:t>АТ «</w:t>
      </w:r>
      <w:proofErr w:type="spellStart"/>
      <w:r w:rsidR="00D24448">
        <w:rPr>
          <w:sz w:val="28"/>
          <w:szCs w:val="28"/>
          <w:lang w:val="uk-UA"/>
        </w:rPr>
        <w:t>Херсон</w:t>
      </w:r>
      <w:r w:rsidR="00D24448" w:rsidRPr="006B0C61">
        <w:rPr>
          <w:sz w:val="28"/>
          <w:szCs w:val="28"/>
          <w:lang w:val="uk-UA"/>
        </w:rPr>
        <w:t>обленерго</w:t>
      </w:r>
      <w:proofErr w:type="spellEnd"/>
      <w:r w:rsidR="00D24448">
        <w:rPr>
          <w:sz w:val="28"/>
          <w:szCs w:val="28"/>
          <w:lang w:val="uk-UA"/>
        </w:rPr>
        <w:t xml:space="preserve">» </w:t>
      </w:r>
      <w:r w:rsidR="00D24448" w:rsidRPr="005B413E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послуги з </w:t>
      </w:r>
      <w:r w:rsidR="00D24448" w:rsidRPr="005B413E">
        <w:rPr>
          <w:sz w:val="28"/>
          <w:szCs w:val="28"/>
          <w:lang w:val="uk-UA"/>
        </w:rPr>
        <w:t>розподіл</w:t>
      </w:r>
      <w:r>
        <w:rPr>
          <w:sz w:val="28"/>
          <w:szCs w:val="28"/>
          <w:lang w:val="uk-UA"/>
        </w:rPr>
        <w:t>у</w:t>
      </w:r>
      <w:r w:rsidR="00D24448" w:rsidRPr="005B413E">
        <w:rPr>
          <w:sz w:val="28"/>
          <w:szCs w:val="28"/>
          <w:lang w:val="uk-UA"/>
        </w:rPr>
        <w:t xml:space="preserve"> електричної енергії на 2021 рік враховано ціну купівлі технологічних витрат електричної енергії на ринку "на добу наперед"</w:t>
      </w:r>
      <w:r w:rsidR="00D24448">
        <w:rPr>
          <w:sz w:val="28"/>
          <w:szCs w:val="28"/>
          <w:lang w:val="uk-UA"/>
        </w:rPr>
        <w:t xml:space="preserve"> </w:t>
      </w:r>
      <w:r w:rsidR="00D24448" w:rsidRPr="005B413E">
        <w:rPr>
          <w:sz w:val="28"/>
          <w:szCs w:val="28"/>
          <w:lang w:val="uk-UA"/>
        </w:rPr>
        <w:t>1</w:t>
      </w:r>
      <w:r w:rsidR="00D24448">
        <w:rPr>
          <w:sz w:val="28"/>
          <w:szCs w:val="28"/>
          <w:lang w:val="uk-UA"/>
        </w:rPr>
        <w:t xml:space="preserve"> 399,</w:t>
      </w:r>
      <w:r w:rsidR="00D24448" w:rsidRPr="005B413E">
        <w:rPr>
          <w:sz w:val="28"/>
          <w:szCs w:val="28"/>
          <w:lang w:val="uk-UA"/>
        </w:rPr>
        <w:t>5</w:t>
      </w:r>
      <w:r w:rsidR="00D24448">
        <w:rPr>
          <w:sz w:val="28"/>
          <w:szCs w:val="28"/>
          <w:lang w:val="uk-UA"/>
        </w:rPr>
        <w:t>1</w:t>
      </w:r>
      <w:r w:rsidR="00D24448" w:rsidRPr="005B413E">
        <w:rPr>
          <w:sz w:val="28"/>
          <w:szCs w:val="28"/>
          <w:lang w:val="uk-UA"/>
        </w:rPr>
        <w:t xml:space="preserve"> </w:t>
      </w:r>
      <w:proofErr w:type="spellStart"/>
      <w:r w:rsidR="00D24448" w:rsidRPr="005B413E">
        <w:rPr>
          <w:sz w:val="28"/>
          <w:szCs w:val="28"/>
          <w:lang w:val="uk-UA"/>
        </w:rPr>
        <w:t>грн</w:t>
      </w:r>
      <w:proofErr w:type="spellEnd"/>
      <w:r w:rsidR="00D24448" w:rsidRPr="005B413E">
        <w:rPr>
          <w:sz w:val="28"/>
          <w:szCs w:val="28"/>
          <w:lang w:val="uk-UA"/>
        </w:rPr>
        <w:t>/</w:t>
      </w:r>
      <w:proofErr w:type="spellStart"/>
      <w:r w:rsidR="00D24448" w:rsidRPr="005B413E">
        <w:rPr>
          <w:sz w:val="28"/>
          <w:szCs w:val="28"/>
          <w:lang w:val="uk-UA"/>
        </w:rPr>
        <w:t>МВт∙год</w:t>
      </w:r>
      <w:proofErr w:type="spellEnd"/>
      <w:r w:rsidR="00D24448" w:rsidRPr="005B413E">
        <w:rPr>
          <w:sz w:val="28"/>
          <w:szCs w:val="28"/>
          <w:lang w:val="uk-UA"/>
        </w:rPr>
        <w:t xml:space="preserve"> (без ПДВ)</w:t>
      </w:r>
      <w:r w:rsidR="00D24448">
        <w:rPr>
          <w:sz w:val="28"/>
          <w:szCs w:val="28"/>
          <w:lang w:val="uk-UA"/>
        </w:rPr>
        <w:t xml:space="preserve">, що менше визначеної ціни згідно із п.5 Положення на 300,49 </w:t>
      </w:r>
      <w:proofErr w:type="spellStart"/>
      <w:r w:rsidR="00D24448">
        <w:rPr>
          <w:sz w:val="28"/>
          <w:szCs w:val="28"/>
          <w:lang w:val="uk-UA"/>
        </w:rPr>
        <w:t>грн</w:t>
      </w:r>
      <w:proofErr w:type="spellEnd"/>
      <w:r w:rsidR="00D24448">
        <w:rPr>
          <w:sz w:val="28"/>
          <w:szCs w:val="28"/>
          <w:lang w:val="uk-UA"/>
        </w:rPr>
        <w:t>/</w:t>
      </w:r>
      <w:proofErr w:type="spellStart"/>
      <w:r w:rsidR="00D24448">
        <w:rPr>
          <w:sz w:val="28"/>
          <w:szCs w:val="28"/>
          <w:lang w:val="uk-UA"/>
        </w:rPr>
        <w:t>МВт.год</w:t>
      </w:r>
      <w:proofErr w:type="spellEnd"/>
      <w:r w:rsidR="00D24448">
        <w:rPr>
          <w:sz w:val="28"/>
          <w:szCs w:val="28"/>
          <w:lang w:val="uk-UA"/>
        </w:rPr>
        <w:t xml:space="preserve">. (без ПДВ) або на </w:t>
      </w:r>
      <w:r w:rsidR="00D776FF" w:rsidRPr="00D776FF">
        <w:rPr>
          <w:b/>
          <w:sz w:val="28"/>
          <w:szCs w:val="28"/>
          <w:lang w:val="uk-UA"/>
        </w:rPr>
        <w:t>21</w:t>
      </w:r>
      <w:r w:rsidR="00D24448" w:rsidRPr="00D776FF">
        <w:rPr>
          <w:b/>
          <w:sz w:val="28"/>
          <w:szCs w:val="28"/>
          <w:lang w:val="uk-UA"/>
        </w:rPr>
        <w:t>,</w:t>
      </w:r>
      <w:r w:rsidR="00D776FF" w:rsidRPr="00D776FF">
        <w:rPr>
          <w:b/>
          <w:sz w:val="28"/>
          <w:szCs w:val="28"/>
          <w:lang w:val="uk-UA"/>
        </w:rPr>
        <w:t>5</w:t>
      </w:r>
      <w:r w:rsidR="00D24448">
        <w:rPr>
          <w:sz w:val="28"/>
          <w:szCs w:val="28"/>
          <w:lang w:val="uk-UA"/>
        </w:rPr>
        <w:t xml:space="preserve"> %.</w:t>
      </w:r>
    </w:p>
    <w:p w:rsidR="00D24448" w:rsidRDefault="00D24448" w:rsidP="00D24448">
      <w:pPr>
        <w:pStyle w:val="Default"/>
        <w:jc w:val="both"/>
        <w:rPr>
          <w:sz w:val="28"/>
          <w:szCs w:val="28"/>
          <w:lang w:val="uk-UA"/>
        </w:rPr>
      </w:pPr>
    </w:p>
    <w:p w:rsidR="00D24448" w:rsidRPr="005B413E" w:rsidRDefault="006F0FE0" w:rsidP="00D2444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24448" w:rsidRPr="005B413E">
        <w:rPr>
          <w:sz w:val="28"/>
          <w:szCs w:val="28"/>
          <w:lang w:val="uk-UA"/>
        </w:rPr>
        <w:t xml:space="preserve">Таким чином, у структурі тарифу </w:t>
      </w:r>
      <w:r w:rsidR="00D24448">
        <w:rPr>
          <w:sz w:val="28"/>
          <w:szCs w:val="28"/>
          <w:lang w:val="uk-UA"/>
        </w:rPr>
        <w:t>АТ «</w:t>
      </w:r>
      <w:proofErr w:type="spellStart"/>
      <w:r w:rsidR="00D24448">
        <w:rPr>
          <w:sz w:val="28"/>
          <w:szCs w:val="28"/>
          <w:lang w:val="uk-UA"/>
        </w:rPr>
        <w:t>Херсон</w:t>
      </w:r>
      <w:r w:rsidR="00D24448" w:rsidRPr="006B0C61">
        <w:rPr>
          <w:sz w:val="28"/>
          <w:szCs w:val="28"/>
          <w:lang w:val="uk-UA"/>
        </w:rPr>
        <w:t>обленерго</w:t>
      </w:r>
      <w:proofErr w:type="spellEnd"/>
      <w:r w:rsidR="00D24448">
        <w:rPr>
          <w:sz w:val="28"/>
          <w:szCs w:val="28"/>
          <w:lang w:val="uk-UA"/>
        </w:rPr>
        <w:t xml:space="preserve">» </w:t>
      </w:r>
      <w:r w:rsidR="00D24448" w:rsidRPr="005B413E">
        <w:rPr>
          <w:sz w:val="28"/>
          <w:szCs w:val="28"/>
          <w:lang w:val="uk-UA"/>
        </w:rPr>
        <w:t xml:space="preserve"> відсутнє відповідне джерело для покриття витрат на закупівлю у державного підприємства “НАЕК </w:t>
      </w:r>
      <w:proofErr w:type="spellStart"/>
      <w:r w:rsidR="00D24448" w:rsidRPr="005B413E">
        <w:rPr>
          <w:sz w:val="28"/>
          <w:szCs w:val="28"/>
          <w:lang w:val="uk-UA"/>
        </w:rPr>
        <w:t>“Енергоатом”</w:t>
      </w:r>
      <w:proofErr w:type="spellEnd"/>
      <w:r w:rsidR="00D24448" w:rsidRPr="005B413E">
        <w:rPr>
          <w:sz w:val="28"/>
          <w:szCs w:val="28"/>
          <w:lang w:val="uk-UA"/>
        </w:rPr>
        <w:t xml:space="preserve"> стандартних продуктів BASE_Q або BASE_Y для компенсації власних технологічних витрат електричної енергії за ціною 1</w:t>
      </w:r>
      <w:r w:rsidR="00D24448">
        <w:rPr>
          <w:sz w:val="28"/>
          <w:szCs w:val="28"/>
          <w:lang w:val="uk-UA"/>
        </w:rPr>
        <w:t xml:space="preserve"> </w:t>
      </w:r>
      <w:r w:rsidR="00D24448" w:rsidRPr="005B413E">
        <w:rPr>
          <w:sz w:val="28"/>
          <w:szCs w:val="28"/>
          <w:lang w:val="uk-UA"/>
        </w:rPr>
        <w:t xml:space="preserve">700 гривень за </w:t>
      </w:r>
      <w:proofErr w:type="spellStart"/>
      <w:r w:rsidR="00D24448" w:rsidRPr="005B413E">
        <w:rPr>
          <w:sz w:val="28"/>
          <w:szCs w:val="28"/>
          <w:lang w:val="uk-UA"/>
        </w:rPr>
        <w:t>МВт•год</w:t>
      </w:r>
      <w:proofErr w:type="spellEnd"/>
      <w:r w:rsidR="00D24448" w:rsidRPr="005B413E">
        <w:rPr>
          <w:sz w:val="28"/>
          <w:szCs w:val="28"/>
          <w:lang w:val="uk-UA"/>
        </w:rPr>
        <w:t>.</w:t>
      </w:r>
    </w:p>
    <w:p w:rsidR="00D24448" w:rsidRDefault="00D24448" w:rsidP="00D24448">
      <w:pPr>
        <w:pStyle w:val="a6"/>
        <w:shd w:val="clear" w:color="auto" w:fill="FFFFFF"/>
        <w:spacing w:before="160" w:beforeAutospacing="0" w:after="150" w:afterAutospacing="0" w:line="259" w:lineRule="auto"/>
        <w:ind w:firstLine="708"/>
        <w:jc w:val="both"/>
        <w:rPr>
          <w:sz w:val="28"/>
          <w:szCs w:val="28"/>
          <w:lang w:val="uk-UA"/>
        </w:rPr>
      </w:pPr>
      <w:r w:rsidRPr="005B413E">
        <w:rPr>
          <w:sz w:val="28"/>
          <w:szCs w:val="28"/>
          <w:lang w:val="uk-UA"/>
        </w:rPr>
        <w:t>Крім того, слід з</w:t>
      </w:r>
      <w:r>
        <w:rPr>
          <w:sz w:val="28"/>
          <w:szCs w:val="28"/>
          <w:lang w:val="uk-UA"/>
        </w:rPr>
        <w:t>аз</w:t>
      </w:r>
      <w:r w:rsidRPr="005B413E">
        <w:rPr>
          <w:sz w:val="28"/>
          <w:szCs w:val="28"/>
          <w:lang w:val="uk-UA"/>
        </w:rPr>
        <w:t>начити, що за даними останніх місяців спостерігається суттєве зростання  цін  на РДН, зокрема</w:t>
      </w:r>
      <w:r>
        <w:rPr>
          <w:sz w:val="28"/>
          <w:szCs w:val="28"/>
          <w:lang w:val="uk-UA"/>
        </w:rPr>
        <w:t>,</w:t>
      </w:r>
      <w:r w:rsidRPr="00D244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даних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«Оператора ринку» </w:t>
      </w:r>
      <w:r w:rsidRPr="006F0FE0">
        <w:rPr>
          <w:b/>
          <w:sz w:val="28"/>
          <w:szCs w:val="28"/>
          <w:lang w:val="uk-UA"/>
        </w:rPr>
        <w:t>середньозважена ціна на РДН по ОЕС України</w:t>
      </w:r>
      <w:r>
        <w:rPr>
          <w:sz w:val="28"/>
          <w:szCs w:val="28"/>
          <w:lang w:val="uk-UA"/>
        </w:rPr>
        <w:t xml:space="preserve"> </w:t>
      </w:r>
      <w:r w:rsidRPr="006F0FE0">
        <w:rPr>
          <w:b/>
          <w:sz w:val="28"/>
          <w:szCs w:val="28"/>
          <w:lang w:val="uk-UA"/>
        </w:rPr>
        <w:t>за серп</w:t>
      </w:r>
      <w:r w:rsidR="00927182" w:rsidRPr="006F0FE0">
        <w:rPr>
          <w:b/>
          <w:sz w:val="28"/>
          <w:szCs w:val="28"/>
          <w:lang w:val="uk-UA"/>
        </w:rPr>
        <w:t>е</w:t>
      </w:r>
      <w:r w:rsidRPr="006F0FE0">
        <w:rPr>
          <w:b/>
          <w:sz w:val="28"/>
          <w:szCs w:val="28"/>
          <w:lang w:val="uk-UA"/>
        </w:rPr>
        <w:t>н</w:t>
      </w:r>
      <w:r w:rsidR="00927182" w:rsidRPr="006F0FE0">
        <w:rPr>
          <w:b/>
          <w:sz w:val="28"/>
          <w:szCs w:val="28"/>
          <w:lang w:val="uk-UA"/>
        </w:rPr>
        <w:t xml:space="preserve">ь </w:t>
      </w:r>
      <w:r w:rsidRPr="006F0FE0">
        <w:rPr>
          <w:b/>
          <w:sz w:val="28"/>
          <w:szCs w:val="28"/>
          <w:lang w:val="uk-UA"/>
        </w:rPr>
        <w:t>2021</w:t>
      </w:r>
      <w:r w:rsidR="00927182" w:rsidRPr="006F0FE0">
        <w:rPr>
          <w:b/>
          <w:sz w:val="28"/>
          <w:szCs w:val="28"/>
          <w:lang w:val="uk-UA"/>
        </w:rPr>
        <w:t xml:space="preserve"> року</w:t>
      </w:r>
      <w:r w:rsidRPr="006F0FE0">
        <w:rPr>
          <w:b/>
          <w:sz w:val="28"/>
          <w:szCs w:val="28"/>
          <w:lang w:val="uk-UA"/>
        </w:rPr>
        <w:t xml:space="preserve"> складає 2 </w:t>
      </w:r>
      <w:r w:rsidR="004121D1" w:rsidRPr="004121D1">
        <w:rPr>
          <w:b/>
          <w:sz w:val="28"/>
          <w:szCs w:val="28"/>
        </w:rPr>
        <w:t>076</w:t>
      </w:r>
      <w:r w:rsidRPr="006F0FE0">
        <w:rPr>
          <w:b/>
          <w:sz w:val="28"/>
          <w:szCs w:val="28"/>
          <w:lang w:val="uk-UA"/>
        </w:rPr>
        <w:t>,</w:t>
      </w:r>
      <w:r w:rsidR="004121D1" w:rsidRPr="004121D1">
        <w:rPr>
          <w:b/>
          <w:sz w:val="28"/>
          <w:szCs w:val="28"/>
        </w:rPr>
        <w:t>9</w:t>
      </w:r>
      <w:r w:rsidR="00927182" w:rsidRPr="006F0FE0">
        <w:rPr>
          <w:b/>
          <w:sz w:val="28"/>
          <w:szCs w:val="28"/>
          <w:lang w:val="uk-UA"/>
        </w:rPr>
        <w:t>5</w:t>
      </w:r>
      <w:r w:rsidRPr="006F0FE0">
        <w:rPr>
          <w:b/>
          <w:sz w:val="28"/>
          <w:szCs w:val="28"/>
          <w:lang w:val="uk-UA"/>
        </w:rPr>
        <w:t xml:space="preserve"> </w:t>
      </w:r>
      <w:proofErr w:type="spellStart"/>
      <w:r w:rsidRPr="006F0FE0">
        <w:rPr>
          <w:b/>
          <w:sz w:val="28"/>
          <w:szCs w:val="28"/>
          <w:lang w:val="uk-UA"/>
        </w:rPr>
        <w:t>грн</w:t>
      </w:r>
      <w:proofErr w:type="spellEnd"/>
      <w:r w:rsidRPr="006F0FE0">
        <w:rPr>
          <w:b/>
          <w:sz w:val="28"/>
          <w:szCs w:val="28"/>
          <w:lang w:val="uk-UA"/>
        </w:rPr>
        <w:t>/</w:t>
      </w:r>
      <w:proofErr w:type="spellStart"/>
      <w:r w:rsidRPr="006F0FE0">
        <w:rPr>
          <w:b/>
          <w:sz w:val="28"/>
          <w:szCs w:val="28"/>
          <w:lang w:val="uk-UA"/>
        </w:rPr>
        <w:t>МВт.год</w:t>
      </w:r>
      <w:proofErr w:type="spellEnd"/>
      <w:r>
        <w:rPr>
          <w:sz w:val="28"/>
          <w:szCs w:val="28"/>
          <w:lang w:val="uk-UA"/>
        </w:rPr>
        <w:t>. (</w:t>
      </w:r>
      <w:r w:rsidR="004121D1" w:rsidRPr="004121D1">
        <w:rPr>
          <w:sz w:val="28"/>
          <w:szCs w:val="28"/>
          <w:lang w:val="uk-UA"/>
        </w:rPr>
        <w:t>https://www.oree.com.ua/index.php/web/231</w:t>
      </w:r>
      <w:r w:rsidRPr="006A0F2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5B413E">
        <w:rPr>
          <w:sz w:val="28"/>
          <w:szCs w:val="28"/>
          <w:lang w:val="uk-UA"/>
        </w:rPr>
        <w:t xml:space="preserve">, що не передбачене тарифними джерелами. </w:t>
      </w:r>
      <w:r w:rsidR="006F0FE0">
        <w:rPr>
          <w:sz w:val="28"/>
          <w:szCs w:val="28"/>
          <w:lang w:val="uk-UA"/>
        </w:rPr>
        <w:t xml:space="preserve">Зростання фактичної ціни на РДН у порівнянні з тарифною складає </w:t>
      </w:r>
      <w:r w:rsidR="004121D1" w:rsidRPr="00D776FF">
        <w:rPr>
          <w:b/>
          <w:sz w:val="28"/>
          <w:szCs w:val="28"/>
        </w:rPr>
        <w:t>48.4</w:t>
      </w:r>
      <w:r w:rsidR="006F0FE0" w:rsidRPr="00D776FF">
        <w:rPr>
          <w:b/>
          <w:sz w:val="28"/>
          <w:szCs w:val="28"/>
          <w:lang w:val="uk-UA"/>
        </w:rPr>
        <w:t xml:space="preserve"> %.</w:t>
      </w:r>
      <w:r w:rsidR="001B4B9D">
        <w:rPr>
          <w:sz w:val="28"/>
          <w:szCs w:val="28"/>
          <w:lang w:val="uk-UA"/>
        </w:rPr>
        <w:t xml:space="preserve"> </w:t>
      </w:r>
    </w:p>
    <w:p w:rsidR="006F0FE0" w:rsidRPr="006F0FE0" w:rsidRDefault="006F0FE0" w:rsidP="006F0FE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оскільки АТ «</w:t>
      </w:r>
      <w:proofErr w:type="spellStart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починаючи з IV-го кварталу купуватиме у </w:t>
      </w:r>
      <w:proofErr w:type="spellStart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«НАЕК «Енергоатом» продукт для компенсації власних технологічних витрат електричної енергії в обсязі мінімальної величини технологічних витрат, відсоток такої купівлі </w:t>
      </w:r>
      <w:r w:rsidRPr="006F0F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складатиме приблизно 36 відсотків від загальної потреби Компанії.</w:t>
      </w:r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Тобто, більшу частину обсягу технологічних витрат Компанія буде змушена купувати на РДН за ціною значно вищою ніж затверджено в структурі тарифу АТ «</w:t>
      </w:r>
      <w:proofErr w:type="spellStart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Херсонобленерго</w:t>
      </w:r>
      <w:proofErr w:type="spellEnd"/>
      <w:r w:rsidRPr="006F0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рік.</w:t>
      </w:r>
    </w:p>
    <w:p w:rsidR="006F0FE0" w:rsidRDefault="006F0FE0" w:rsidP="004121D1">
      <w:pPr>
        <w:pStyle w:val="a6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  <w:r w:rsidRPr="00EE40D9">
        <w:rPr>
          <w:sz w:val="28"/>
          <w:szCs w:val="28"/>
          <w:lang w:val="uk-UA"/>
        </w:rPr>
        <w:t>Затверджений механізм ПСО, що почне діяти з 01.10.2021 року, без відповідних змін в тарифах на послуги з розподілу електричної енергії</w:t>
      </w:r>
      <w:r>
        <w:rPr>
          <w:sz w:val="28"/>
          <w:szCs w:val="28"/>
          <w:lang w:val="uk-UA"/>
        </w:rPr>
        <w:t xml:space="preserve"> АТ </w:t>
      </w:r>
      <w:r>
        <w:rPr>
          <w:sz w:val="28"/>
          <w:szCs w:val="28"/>
          <w:lang w:val="uk-UA"/>
        </w:rPr>
        <w:lastRenderedPageBreak/>
        <w:t>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  <w:r w:rsidRPr="00EE40D9">
        <w:rPr>
          <w:sz w:val="28"/>
          <w:szCs w:val="28"/>
          <w:lang w:val="uk-UA"/>
        </w:rPr>
        <w:t xml:space="preserve">, становить </w:t>
      </w:r>
      <w:r>
        <w:rPr>
          <w:sz w:val="28"/>
          <w:szCs w:val="28"/>
          <w:lang w:val="uk-UA"/>
        </w:rPr>
        <w:t xml:space="preserve">під </w:t>
      </w:r>
      <w:r w:rsidRPr="00EE40D9">
        <w:rPr>
          <w:sz w:val="28"/>
          <w:szCs w:val="28"/>
          <w:lang w:val="uk-UA"/>
        </w:rPr>
        <w:t>загрозу виконанн</w:t>
      </w:r>
      <w:r>
        <w:rPr>
          <w:sz w:val="28"/>
          <w:szCs w:val="28"/>
          <w:lang w:val="uk-UA"/>
        </w:rPr>
        <w:t>я</w:t>
      </w:r>
      <w:r w:rsidRPr="00EE4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EE40D9">
        <w:rPr>
          <w:sz w:val="28"/>
          <w:szCs w:val="28"/>
          <w:lang w:val="uk-UA"/>
        </w:rPr>
        <w:t>нвестиційної програми</w:t>
      </w:r>
      <w:r>
        <w:rPr>
          <w:sz w:val="28"/>
          <w:szCs w:val="28"/>
          <w:lang w:val="uk-UA"/>
        </w:rPr>
        <w:t>, виплату заробітної плати, податків тощо</w:t>
      </w:r>
      <w:r w:rsidRPr="00EE40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При цьому </w:t>
      </w:r>
      <w:r w:rsidRPr="003541AF">
        <w:rPr>
          <w:sz w:val="28"/>
          <w:szCs w:val="28"/>
          <w:lang w:val="uk-UA"/>
        </w:rPr>
        <w:t>виникає ризик проходження осінньо-зимового період</w:t>
      </w:r>
      <w:r>
        <w:rPr>
          <w:sz w:val="28"/>
          <w:szCs w:val="28"/>
          <w:lang w:val="uk-UA"/>
        </w:rPr>
        <w:t xml:space="preserve">у 2021/2022 років. </w:t>
      </w:r>
    </w:p>
    <w:p w:rsidR="00D24448" w:rsidRDefault="00D24448" w:rsidP="00D24448">
      <w:pPr>
        <w:pStyle w:val="a6"/>
        <w:shd w:val="clear" w:color="auto" w:fill="FFFFFF"/>
        <w:spacing w:before="160" w:beforeAutospacing="0" w:after="150" w:afterAutospacing="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викладене, </w:t>
      </w:r>
      <w:r w:rsidR="00927182">
        <w:rPr>
          <w:sz w:val="28"/>
          <w:szCs w:val="28"/>
          <w:lang w:val="uk-UA"/>
        </w:rPr>
        <w:t>АТ «</w:t>
      </w:r>
      <w:proofErr w:type="spellStart"/>
      <w:r w:rsidR="00927182">
        <w:rPr>
          <w:sz w:val="28"/>
          <w:szCs w:val="28"/>
          <w:lang w:val="uk-UA"/>
        </w:rPr>
        <w:t>Херсонобленерго</w:t>
      </w:r>
      <w:proofErr w:type="spellEnd"/>
      <w:r w:rsidR="00927182">
        <w:rPr>
          <w:sz w:val="28"/>
          <w:szCs w:val="28"/>
          <w:lang w:val="uk-UA"/>
        </w:rPr>
        <w:t>» розрахувало</w:t>
      </w:r>
      <w:r>
        <w:rPr>
          <w:sz w:val="28"/>
          <w:szCs w:val="28"/>
          <w:lang w:val="uk-UA"/>
        </w:rPr>
        <w:t xml:space="preserve"> </w:t>
      </w:r>
      <w:proofErr w:type="spellStart"/>
      <w:r w:rsidR="00927182">
        <w:rPr>
          <w:sz w:val="28"/>
          <w:szCs w:val="28"/>
          <w:lang w:val="uk-UA"/>
        </w:rPr>
        <w:t>проєкт</w:t>
      </w:r>
      <w:proofErr w:type="spellEnd"/>
      <w:r w:rsidR="009271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тариф</w:t>
      </w:r>
      <w:r w:rsidR="00927182">
        <w:rPr>
          <w:sz w:val="28"/>
          <w:szCs w:val="28"/>
          <w:lang w:val="uk-UA"/>
        </w:rPr>
        <w:t>ів на послуги з розподілу електричної енергії</w:t>
      </w:r>
      <w:r>
        <w:rPr>
          <w:sz w:val="28"/>
          <w:szCs w:val="28"/>
          <w:lang w:val="uk-UA"/>
        </w:rPr>
        <w:t xml:space="preserve">, що забезпечують покриття економічно </w:t>
      </w:r>
      <w:proofErr w:type="spellStart"/>
      <w:r>
        <w:rPr>
          <w:sz w:val="28"/>
          <w:szCs w:val="28"/>
          <w:lang w:val="uk-UA"/>
        </w:rPr>
        <w:t>обгрунтованих</w:t>
      </w:r>
      <w:proofErr w:type="spellEnd"/>
      <w:r>
        <w:rPr>
          <w:sz w:val="28"/>
          <w:szCs w:val="28"/>
          <w:lang w:val="uk-UA"/>
        </w:rPr>
        <w:t xml:space="preserve"> витрат Товариства, пов'язаних із виконанням спеціальних обов'язків, покладених на Товариство постановою КМУ </w:t>
      </w:r>
      <w:proofErr w:type="spellStart"/>
      <w:r w:rsidR="004121D1">
        <w:rPr>
          <w:sz w:val="28"/>
          <w:szCs w:val="28"/>
          <w:lang w:val="en-US"/>
        </w:rPr>
        <w:t>за</w:t>
      </w:r>
      <w:proofErr w:type="spellEnd"/>
      <w:r w:rsidR="004121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№</w:t>
      </w:r>
      <w:r w:rsidR="00412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859. </w:t>
      </w:r>
    </w:p>
    <w:p w:rsidR="00F6059E" w:rsidRDefault="00D24448" w:rsidP="00D24448">
      <w:pPr>
        <w:spacing w:before="1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підставі проведених розрахунків орієнтовний рівень тарифів на </w:t>
      </w:r>
      <w:r w:rsidR="00927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</w:t>
      </w: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>розподіл</w:t>
      </w:r>
      <w:r w:rsidR="0092718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електричної енергії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2021 році </w:t>
      </w: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>з 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>1.2021</w:t>
      </w:r>
      <w:r w:rsidR="00927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для АТ «</w:t>
      </w:r>
      <w:proofErr w:type="spellStart"/>
      <w:r w:rsidR="00927182">
        <w:rPr>
          <w:rFonts w:ascii="Times New Roman" w:hAnsi="Times New Roman" w:cs="Times New Roman"/>
          <w:b/>
          <w:sz w:val="28"/>
          <w:szCs w:val="28"/>
          <w:lang w:val="uk-UA"/>
        </w:rPr>
        <w:t>Херсонобленерго</w:t>
      </w:r>
      <w:proofErr w:type="spellEnd"/>
      <w:r w:rsidR="0092718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31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складатиме:</w:t>
      </w:r>
    </w:p>
    <w:p w:rsidR="00F6059E" w:rsidRDefault="00F6059E" w:rsidP="00D24448">
      <w:pPr>
        <w:spacing w:before="16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11"/>
        <w:gridCol w:w="1843"/>
        <w:gridCol w:w="2908"/>
      </w:tblGrid>
      <w:tr w:rsidR="00F6059E" w:rsidTr="00F6059E">
        <w:trPr>
          <w:trHeight w:val="958"/>
          <w:jc w:val="center"/>
        </w:trPr>
        <w:tc>
          <w:tcPr>
            <w:tcW w:w="5211" w:type="dxa"/>
          </w:tcPr>
          <w:p w:rsidR="00F6059E" w:rsidRDefault="00F6059E" w:rsidP="00F60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розподіл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електричної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напруги</w:t>
            </w:r>
            <w:proofErr w:type="spellEnd"/>
          </w:p>
          <w:p w:rsidR="00F6059E" w:rsidRPr="00F6059E" w:rsidRDefault="00F6059E" w:rsidP="00F6059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59E" w:rsidRDefault="00F6059E" w:rsidP="00F6059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МВт·год</w:t>
            </w:r>
            <w:proofErr w:type="spellEnd"/>
          </w:p>
        </w:tc>
        <w:tc>
          <w:tcPr>
            <w:tcW w:w="2908" w:type="dxa"/>
          </w:tcPr>
          <w:p w:rsidR="00F6059E" w:rsidRPr="00121D90" w:rsidRDefault="00F6059E" w:rsidP="00FF7745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1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FF7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  <w:r w:rsidRPr="00121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121D1" w:rsidRPr="00121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F7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6059E" w:rsidTr="00F6059E">
        <w:trPr>
          <w:jc w:val="center"/>
        </w:trPr>
        <w:tc>
          <w:tcPr>
            <w:tcW w:w="5211" w:type="dxa"/>
          </w:tcPr>
          <w:p w:rsidR="00F6059E" w:rsidRDefault="00F6059E" w:rsidP="00F60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Тариф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розподіл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електричної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енергії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споживачів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класу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напруги</w:t>
            </w:r>
            <w:proofErr w:type="spellEnd"/>
          </w:p>
          <w:p w:rsidR="00F6059E" w:rsidRPr="00F6059E" w:rsidRDefault="00F6059E" w:rsidP="00F6059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59E" w:rsidRDefault="00F6059E" w:rsidP="00F6059E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Pr="00F6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МВт·год</w:t>
            </w:r>
            <w:proofErr w:type="spellEnd"/>
          </w:p>
        </w:tc>
        <w:tc>
          <w:tcPr>
            <w:tcW w:w="2908" w:type="dxa"/>
          </w:tcPr>
          <w:p w:rsidR="00F6059E" w:rsidRPr="00121D90" w:rsidRDefault="00F6059E" w:rsidP="00FF7745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1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FF77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240,10</w:t>
            </w:r>
          </w:p>
        </w:tc>
      </w:tr>
    </w:tbl>
    <w:p w:rsidR="00D24448" w:rsidRPr="00927182" w:rsidRDefault="00D24448" w:rsidP="00D24448">
      <w:pPr>
        <w:pStyle w:val="Default"/>
        <w:jc w:val="both"/>
        <w:rPr>
          <w:sz w:val="28"/>
          <w:szCs w:val="28"/>
          <w:lang w:val="uk-UA"/>
        </w:rPr>
      </w:pPr>
    </w:p>
    <w:p w:rsidR="00C3637C" w:rsidRPr="00927182" w:rsidRDefault="00C3637C" w:rsidP="006D71E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C3637C" w:rsidRPr="00927182" w:rsidRDefault="00C3637C" w:rsidP="006D71E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C3637C" w:rsidRDefault="00C3637C" w:rsidP="006D71E8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1E2B8D" w:rsidRPr="00C3637C" w:rsidRDefault="00C3637C" w:rsidP="006D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637C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D24448">
        <w:rPr>
          <w:rFonts w:ascii="Times New Roman" w:hAnsi="Times New Roman" w:cs="Times New Roman"/>
          <w:color w:val="000000"/>
          <w:sz w:val="28"/>
          <w:szCs w:val="28"/>
          <w:lang w:val="uk-UA"/>
        </w:rPr>
        <w:t>6.09.2021</w:t>
      </w:r>
      <w:r w:rsidR="006B0C61" w:rsidRPr="00C363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92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                                 </w:t>
      </w:r>
      <w:r w:rsidR="006F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9271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Адміністрація</w:t>
      </w:r>
      <w:r w:rsidR="006F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0FE0" w:rsidRPr="006F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 «</w:t>
      </w:r>
      <w:proofErr w:type="spellStart"/>
      <w:r w:rsidR="006F0FE0" w:rsidRPr="006F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="006F0FE0" w:rsidRPr="006F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9D3D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</w:p>
    <w:tbl>
      <w:tblPr>
        <w:tblW w:w="16304" w:type="dxa"/>
        <w:tblInd w:w="93" w:type="dxa"/>
        <w:tblLook w:val="04A0"/>
      </w:tblPr>
      <w:tblGrid>
        <w:gridCol w:w="11226"/>
        <w:gridCol w:w="4067"/>
        <w:gridCol w:w="337"/>
        <w:gridCol w:w="337"/>
        <w:gridCol w:w="337"/>
      </w:tblGrid>
      <w:tr w:rsidR="009A2295" w:rsidRPr="009A2295" w:rsidTr="009A2295">
        <w:trPr>
          <w:trHeight w:val="450"/>
        </w:trPr>
        <w:tc>
          <w:tcPr>
            <w:tcW w:w="1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295" w:rsidRPr="009A2295" w:rsidRDefault="009A2295" w:rsidP="009A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</w:tr>
      <w:tr w:rsidR="009A2295" w:rsidRPr="009A2295" w:rsidTr="009A2295">
        <w:trPr>
          <w:trHeight w:val="450"/>
        </w:trPr>
        <w:tc>
          <w:tcPr>
            <w:tcW w:w="16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295" w:rsidRPr="009A2295" w:rsidRDefault="009A2295" w:rsidP="009A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</w:tr>
      <w:tr w:rsidR="009A2295" w:rsidRPr="009A2295" w:rsidTr="009A2295">
        <w:trPr>
          <w:trHeight w:val="390"/>
        </w:trPr>
        <w:tc>
          <w:tcPr>
            <w:tcW w:w="1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2295" w:rsidRPr="009A2295" w:rsidRDefault="009A2295" w:rsidP="009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95" w:rsidRPr="009A2295" w:rsidRDefault="009A2295" w:rsidP="009A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95" w:rsidRPr="009A2295" w:rsidRDefault="009A2295" w:rsidP="009A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95" w:rsidRPr="009A2295" w:rsidRDefault="009A2295" w:rsidP="009A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295" w:rsidRPr="009A2295" w:rsidRDefault="009A2295" w:rsidP="009A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74A6D" w:rsidRPr="0087712B" w:rsidRDefault="00874A6D" w:rsidP="004D3847">
      <w:pPr>
        <w:pStyle w:val="Default"/>
        <w:pageBreakBefore/>
        <w:rPr>
          <w:rStyle w:val="tlid-translation"/>
        </w:rPr>
      </w:pPr>
    </w:p>
    <w:sectPr w:rsidR="00874A6D" w:rsidRPr="0087712B" w:rsidSect="0092718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0ED"/>
    <w:multiLevelType w:val="hybridMultilevel"/>
    <w:tmpl w:val="E7E82D70"/>
    <w:lvl w:ilvl="0" w:tplc="4BE4E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E53"/>
    <w:rsid w:val="000077B4"/>
    <w:rsid w:val="0001408F"/>
    <w:rsid w:val="00017D90"/>
    <w:rsid w:val="0004279E"/>
    <w:rsid w:val="00077266"/>
    <w:rsid w:val="000E74D7"/>
    <w:rsid w:val="000E7BD7"/>
    <w:rsid w:val="00121D90"/>
    <w:rsid w:val="0012207E"/>
    <w:rsid w:val="00156131"/>
    <w:rsid w:val="00161043"/>
    <w:rsid w:val="001615DC"/>
    <w:rsid w:val="00191BE0"/>
    <w:rsid w:val="00192ADC"/>
    <w:rsid w:val="0019707D"/>
    <w:rsid w:val="001A7A34"/>
    <w:rsid w:val="001B4B9D"/>
    <w:rsid w:val="001E2B8D"/>
    <w:rsid w:val="001F10EE"/>
    <w:rsid w:val="002160A4"/>
    <w:rsid w:val="00245313"/>
    <w:rsid w:val="00260C7B"/>
    <w:rsid w:val="00294486"/>
    <w:rsid w:val="002C111B"/>
    <w:rsid w:val="002C2702"/>
    <w:rsid w:val="002D4D35"/>
    <w:rsid w:val="003120F1"/>
    <w:rsid w:val="00331262"/>
    <w:rsid w:val="0033425B"/>
    <w:rsid w:val="00335188"/>
    <w:rsid w:val="00340793"/>
    <w:rsid w:val="00362ACD"/>
    <w:rsid w:val="00377338"/>
    <w:rsid w:val="003E28C9"/>
    <w:rsid w:val="003F29B2"/>
    <w:rsid w:val="004121D1"/>
    <w:rsid w:val="004133A4"/>
    <w:rsid w:val="004148DD"/>
    <w:rsid w:val="00441312"/>
    <w:rsid w:val="004416A6"/>
    <w:rsid w:val="00447463"/>
    <w:rsid w:val="0045599B"/>
    <w:rsid w:val="004A411C"/>
    <w:rsid w:val="004C3B62"/>
    <w:rsid w:val="004D3847"/>
    <w:rsid w:val="004E2AD9"/>
    <w:rsid w:val="005105C0"/>
    <w:rsid w:val="005127A5"/>
    <w:rsid w:val="00552880"/>
    <w:rsid w:val="00593394"/>
    <w:rsid w:val="00594BEE"/>
    <w:rsid w:val="005A3A62"/>
    <w:rsid w:val="005C43F9"/>
    <w:rsid w:val="005D7693"/>
    <w:rsid w:val="005E0ED2"/>
    <w:rsid w:val="00604294"/>
    <w:rsid w:val="00685790"/>
    <w:rsid w:val="00687B04"/>
    <w:rsid w:val="006A7ECB"/>
    <w:rsid w:val="006B0C61"/>
    <w:rsid w:val="006B6FC3"/>
    <w:rsid w:val="006C5D7A"/>
    <w:rsid w:val="006D0E21"/>
    <w:rsid w:val="006D2CF7"/>
    <w:rsid w:val="006D5141"/>
    <w:rsid w:val="006D71E8"/>
    <w:rsid w:val="006F0FE0"/>
    <w:rsid w:val="00700C2C"/>
    <w:rsid w:val="00752CE7"/>
    <w:rsid w:val="007E56F7"/>
    <w:rsid w:val="00805C52"/>
    <w:rsid w:val="00837929"/>
    <w:rsid w:val="00854940"/>
    <w:rsid w:val="0086435A"/>
    <w:rsid w:val="00874A6D"/>
    <w:rsid w:val="0087712B"/>
    <w:rsid w:val="008B335C"/>
    <w:rsid w:val="008C21ED"/>
    <w:rsid w:val="008D16F6"/>
    <w:rsid w:val="008D675B"/>
    <w:rsid w:val="009070E3"/>
    <w:rsid w:val="00927182"/>
    <w:rsid w:val="009343B8"/>
    <w:rsid w:val="00953D6C"/>
    <w:rsid w:val="009622DC"/>
    <w:rsid w:val="009708A6"/>
    <w:rsid w:val="009A2295"/>
    <w:rsid w:val="009A3391"/>
    <w:rsid w:val="009A523F"/>
    <w:rsid w:val="009B596E"/>
    <w:rsid w:val="009D0C28"/>
    <w:rsid w:val="009D3DE1"/>
    <w:rsid w:val="009E2FE0"/>
    <w:rsid w:val="009F3796"/>
    <w:rsid w:val="00A1023D"/>
    <w:rsid w:val="00A11C3C"/>
    <w:rsid w:val="00A16E07"/>
    <w:rsid w:val="00A40A7C"/>
    <w:rsid w:val="00A60A50"/>
    <w:rsid w:val="00AA3187"/>
    <w:rsid w:val="00AD6152"/>
    <w:rsid w:val="00AE117B"/>
    <w:rsid w:val="00B23341"/>
    <w:rsid w:val="00B2674F"/>
    <w:rsid w:val="00B30344"/>
    <w:rsid w:val="00B37525"/>
    <w:rsid w:val="00B4178B"/>
    <w:rsid w:val="00B90EA6"/>
    <w:rsid w:val="00B92859"/>
    <w:rsid w:val="00BB05A8"/>
    <w:rsid w:val="00BB3C16"/>
    <w:rsid w:val="00BF0E4B"/>
    <w:rsid w:val="00BF3E53"/>
    <w:rsid w:val="00C0647E"/>
    <w:rsid w:val="00C27534"/>
    <w:rsid w:val="00C3637C"/>
    <w:rsid w:val="00C624F9"/>
    <w:rsid w:val="00CB2156"/>
    <w:rsid w:val="00CC1997"/>
    <w:rsid w:val="00CF3434"/>
    <w:rsid w:val="00D13C75"/>
    <w:rsid w:val="00D24448"/>
    <w:rsid w:val="00D75DC1"/>
    <w:rsid w:val="00D776FF"/>
    <w:rsid w:val="00D90354"/>
    <w:rsid w:val="00DA20EB"/>
    <w:rsid w:val="00DB3038"/>
    <w:rsid w:val="00DC10BA"/>
    <w:rsid w:val="00DD5006"/>
    <w:rsid w:val="00DE52A5"/>
    <w:rsid w:val="00E31B98"/>
    <w:rsid w:val="00E442C2"/>
    <w:rsid w:val="00E6376F"/>
    <w:rsid w:val="00E86C12"/>
    <w:rsid w:val="00EA6CE2"/>
    <w:rsid w:val="00EB7268"/>
    <w:rsid w:val="00ED2526"/>
    <w:rsid w:val="00EE1CDA"/>
    <w:rsid w:val="00EF508B"/>
    <w:rsid w:val="00F011AE"/>
    <w:rsid w:val="00F06B02"/>
    <w:rsid w:val="00F13133"/>
    <w:rsid w:val="00F143E7"/>
    <w:rsid w:val="00F14899"/>
    <w:rsid w:val="00F16136"/>
    <w:rsid w:val="00F20417"/>
    <w:rsid w:val="00F2123A"/>
    <w:rsid w:val="00F34022"/>
    <w:rsid w:val="00F51CF4"/>
    <w:rsid w:val="00F6059E"/>
    <w:rsid w:val="00FA1390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0C61"/>
    <w:pPr>
      <w:ind w:left="720"/>
      <w:contextualSpacing/>
    </w:pPr>
  </w:style>
  <w:style w:type="table" w:styleId="a4">
    <w:name w:val="Table Grid"/>
    <w:basedOn w:val="a1"/>
    <w:uiPriority w:val="59"/>
    <w:rsid w:val="00F2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1262"/>
    <w:pPr>
      <w:spacing w:after="0" w:line="240" w:lineRule="auto"/>
    </w:pPr>
    <w:rPr>
      <w:lang w:val="uk-UA"/>
    </w:rPr>
  </w:style>
  <w:style w:type="character" w:customStyle="1" w:styleId="tlid-translation">
    <w:name w:val="tlid-translation"/>
    <w:basedOn w:val="a0"/>
    <w:rsid w:val="0087712B"/>
  </w:style>
  <w:style w:type="paragraph" w:styleId="a6">
    <w:name w:val="Normal (Web)"/>
    <w:basedOn w:val="a"/>
    <w:unhideWhenUsed/>
    <w:rsid w:val="00D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4448"/>
    <w:rPr>
      <w:b/>
      <w:bCs/>
    </w:rPr>
  </w:style>
  <w:style w:type="character" w:styleId="a8">
    <w:name w:val="Hyperlink"/>
    <w:rsid w:val="00D2444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0C61"/>
    <w:pPr>
      <w:ind w:left="720"/>
      <w:contextualSpacing/>
    </w:pPr>
  </w:style>
  <w:style w:type="table" w:styleId="a4">
    <w:name w:val="Table Grid"/>
    <w:basedOn w:val="a1"/>
    <w:uiPriority w:val="59"/>
    <w:rsid w:val="00F2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</dc:creator>
  <cp:keywords/>
  <dc:description/>
  <cp:lastModifiedBy>gavrilenkonv</cp:lastModifiedBy>
  <cp:revision>33</cp:revision>
  <cp:lastPrinted>2021-09-11T12:05:00Z</cp:lastPrinted>
  <dcterms:created xsi:type="dcterms:W3CDTF">2017-08-13T13:41:00Z</dcterms:created>
  <dcterms:modified xsi:type="dcterms:W3CDTF">2021-09-13T13:52:00Z</dcterms:modified>
</cp:coreProperties>
</file>